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8914" w14:textId="77777777" w:rsidR="00452FDC" w:rsidRPr="00452FDC" w:rsidRDefault="00452FDC" w:rsidP="00452FDC">
      <w:pPr>
        <w:rPr>
          <w:rFonts w:asciiTheme="minorHAnsi" w:hAnsiTheme="minorHAnsi" w:cstheme="minorHAnsi"/>
          <w:bCs/>
          <w:sz w:val="22"/>
          <w:lang w:val="fr-FR"/>
        </w:rPr>
      </w:pPr>
      <w:r w:rsidRPr="00452FDC">
        <w:rPr>
          <w:rFonts w:asciiTheme="minorHAnsi" w:hAnsiTheme="minorHAnsi" w:cstheme="minorHAnsi"/>
          <w:bCs/>
          <w:sz w:val="22"/>
          <w:lang w:val="fr-FR"/>
        </w:rPr>
        <w:t xml:space="preserve">2024 / Treatment Innovations / Lisa M. Najavits, PhD </w:t>
      </w:r>
    </w:p>
    <w:p w14:paraId="1A959005" w14:textId="77777777" w:rsidR="00452FDC" w:rsidRPr="00452FDC" w:rsidRDefault="00452FDC" w:rsidP="00452FDC">
      <w:pPr>
        <w:rPr>
          <w:rFonts w:asciiTheme="minorHAnsi" w:hAnsiTheme="minorHAnsi" w:cstheme="minorHAnsi"/>
          <w:bCs/>
          <w:sz w:val="22"/>
          <w:lang w:val="fr-FR"/>
        </w:rPr>
      </w:pPr>
    </w:p>
    <w:p w14:paraId="76C2DBCA" w14:textId="77777777" w:rsidR="00452FDC" w:rsidRPr="00452FDC" w:rsidRDefault="00452FDC" w:rsidP="00452FDC">
      <w:pPr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452FDC">
        <w:rPr>
          <w:rFonts w:asciiTheme="minorHAnsi" w:hAnsiTheme="minorHAnsi" w:cstheme="minorHAnsi"/>
          <w:b/>
          <w:bCs/>
          <w:sz w:val="22"/>
        </w:rPr>
        <w:t>Outline and Objectives</w:t>
      </w:r>
    </w:p>
    <w:p w14:paraId="3C553719" w14:textId="77777777" w:rsidR="001C1A14" w:rsidRPr="005E4649" w:rsidRDefault="001C1A14" w:rsidP="001C1A14">
      <w:pPr>
        <w:rPr>
          <w:rFonts w:asciiTheme="minorHAnsi" w:hAnsiTheme="minorHAnsi" w:cstheme="minorHAnsi"/>
          <w:sz w:val="22"/>
        </w:rPr>
      </w:pPr>
    </w:p>
    <w:p w14:paraId="2C2F9ECA" w14:textId="0E96F56F" w:rsidR="000336F3" w:rsidRPr="00452FDC" w:rsidRDefault="000336F3" w:rsidP="00C91EFF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452FDC">
        <w:rPr>
          <w:rFonts w:asciiTheme="minorHAnsi" w:hAnsiTheme="minorHAnsi" w:cstheme="minorHAnsi"/>
          <w:b/>
          <w:bCs/>
          <w:sz w:val="22"/>
        </w:rPr>
        <w:t>Workshop</w:t>
      </w:r>
      <w:r w:rsidR="00452FDC" w:rsidRPr="00452FDC">
        <w:rPr>
          <w:rFonts w:asciiTheme="minorHAnsi" w:hAnsiTheme="minorHAnsi" w:cstheme="minorHAnsi"/>
          <w:b/>
          <w:bCs/>
          <w:sz w:val="22"/>
        </w:rPr>
        <w:t xml:space="preserve"> on </w:t>
      </w:r>
      <w:r w:rsidR="00452FDC" w:rsidRPr="00452FDC">
        <w:rPr>
          <w:rFonts w:asciiTheme="minorHAnsi" w:hAnsiTheme="minorHAnsi" w:cstheme="minorHAnsi"/>
          <w:b/>
          <w:bCs/>
          <w:i/>
          <w:iCs/>
          <w:sz w:val="22"/>
        </w:rPr>
        <w:t>Seeking Safety</w:t>
      </w:r>
      <w:r w:rsidRPr="00452FDC">
        <w:rPr>
          <w:rFonts w:asciiTheme="minorHAnsi" w:hAnsiTheme="minorHAnsi" w:cstheme="minorHAnsi"/>
          <w:b/>
          <w:bCs/>
          <w:sz w:val="22"/>
        </w:rPr>
        <w:t xml:space="preserve"> </w:t>
      </w:r>
      <w:r w:rsidRPr="00452FDC">
        <w:rPr>
          <w:rFonts w:asciiTheme="minorHAnsi" w:hAnsiTheme="minorHAnsi" w:cstheme="minorHAnsi"/>
          <w:sz w:val="22"/>
        </w:rPr>
        <w:t>(following a short program)</w:t>
      </w:r>
      <w:r w:rsidRPr="00452FDC">
        <w:rPr>
          <w:rStyle w:val="FootnoteReference"/>
          <w:rFonts w:asciiTheme="minorHAnsi" w:hAnsiTheme="minorHAnsi" w:cstheme="minorHAnsi"/>
          <w:sz w:val="22"/>
        </w:rPr>
        <w:footnoteReference w:id="1"/>
      </w:r>
    </w:p>
    <w:p w14:paraId="39EB63A8" w14:textId="77777777" w:rsidR="009B4C2E" w:rsidRPr="00452FDC" w:rsidRDefault="009B4C2E" w:rsidP="00C91EFF">
      <w:pPr>
        <w:rPr>
          <w:rFonts w:asciiTheme="minorHAnsi" w:hAnsiTheme="minorHAnsi" w:cstheme="minorHAnsi"/>
          <w:b/>
          <w:bCs/>
          <w:sz w:val="22"/>
        </w:rPr>
      </w:pPr>
    </w:p>
    <w:p w14:paraId="2764E9DA" w14:textId="09399928" w:rsidR="0046608F" w:rsidRPr="0046608F" w:rsidRDefault="0046608F" w:rsidP="0046608F">
      <w:p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T</w:t>
      </w:r>
      <w:r w:rsidRPr="0046608F">
        <w:rPr>
          <w:rFonts w:asciiTheme="minorHAnsi" w:hAnsiTheme="minorHAnsi" w:cstheme="minorHAnsi"/>
          <w:b/>
          <w:color w:val="000000"/>
          <w:sz w:val="22"/>
        </w:rPr>
        <w:t>itle</w:t>
      </w:r>
      <w:r w:rsidR="0070307F">
        <w:rPr>
          <w:rFonts w:asciiTheme="minorHAnsi" w:hAnsiTheme="minorHAnsi" w:cstheme="minorHAnsi"/>
          <w:b/>
          <w:color w:val="000000"/>
          <w:sz w:val="22"/>
        </w:rPr>
        <w:t xml:space="preserve">: </w:t>
      </w:r>
      <w:r w:rsidRPr="0046608F">
        <w:rPr>
          <w:rFonts w:asciiTheme="minorHAnsi" w:hAnsiTheme="minorHAnsi" w:cstheme="minorHAnsi"/>
          <w:color w:val="000000"/>
          <w:sz w:val="22"/>
        </w:rPr>
        <w:t>please choose one below</w:t>
      </w:r>
    </w:p>
    <w:p w14:paraId="36953D91" w14:textId="77777777" w:rsidR="0046608F" w:rsidRPr="005E4649" w:rsidRDefault="0046608F" w:rsidP="0046608F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Successful i</w:t>
      </w:r>
      <w:r w:rsidRPr="005E4649">
        <w:rPr>
          <w:rFonts w:asciiTheme="minorHAnsi" w:hAnsiTheme="minorHAnsi" w:cstheme="minorHAnsi"/>
          <w:i/>
          <w:iCs/>
          <w:sz w:val="22"/>
        </w:rPr>
        <w:t>mplement</w:t>
      </w:r>
      <w:r>
        <w:rPr>
          <w:rFonts w:asciiTheme="minorHAnsi" w:hAnsiTheme="minorHAnsi" w:cstheme="minorHAnsi"/>
          <w:i/>
          <w:iCs/>
          <w:sz w:val="22"/>
        </w:rPr>
        <w:t>ation of</w:t>
      </w:r>
      <w:r w:rsidRPr="005E4649">
        <w:rPr>
          <w:rFonts w:asciiTheme="minorHAnsi" w:hAnsiTheme="minorHAnsi" w:cstheme="minorHAnsi"/>
          <w:i/>
          <w:iCs/>
          <w:sz w:val="22"/>
        </w:rPr>
        <w:t xml:space="preserve"> Seeking Safety</w:t>
      </w:r>
    </w:p>
    <w:p w14:paraId="2E5D1BED" w14:textId="0AC64BB6" w:rsidR="009B4C2E" w:rsidRPr="005E4649" w:rsidRDefault="009B4C2E" w:rsidP="00C91EFF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i/>
          <w:iCs/>
          <w:sz w:val="22"/>
        </w:rPr>
        <w:t>Making it w</w:t>
      </w:r>
      <w:r w:rsidR="000336F3" w:rsidRPr="005E4649">
        <w:rPr>
          <w:rFonts w:asciiTheme="minorHAnsi" w:hAnsiTheme="minorHAnsi" w:cstheme="minorHAnsi"/>
          <w:i/>
          <w:iCs/>
          <w:sz w:val="22"/>
        </w:rPr>
        <w:t xml:space="preserve">ork: </w:t>
      </w:r>
      <w:r w:rsidRPr="005E4649">
        <w:rPr>
          <w:rFonts w:asciiTheme="minorHAnsi" w:hAnsiTheme="minorHAnsi" w:cstheme="minorHAnsi"/>
          <w:i/>
          <w:iCs/>
          <w:sz w:val="22"/>
        </w:rPr>
        <w:t>Seeking Safety i</w:t>
      </w:r>
      <w:r w:rsidR="000336F3" w:rsidRPr="005E4649">
        <w:rPr>
          <w:rFonts w:asciiTheme="minorHAnsi" w:hAnsiTheme="minorHAnsi" w:cstheme="minorHAnsi"/>
          <w:i/>
          <w:iCs/>
          <w:sz w:val="22"/>
        </w:rPr>
        <w:t>mplement</w:t>
      </w:r>
      <w:r w:rsidRPr="005E4649">
        <w:rPr>
          <w:rFonts w:asciiTheme="minorHAnsi" w:hAnsiTheme="minorHAnsi" w:cstheme="minorHAnsi"/>
          <w:i/>
          <w:iCs/>
          <w:sz w:val="22"/>
        </w:rPr>
        <w:t>ation</w:t>
      </w:r>
      <w:r w:rsidR="000336F3" w:rsidRPr="005E4649">
        <w:rPr>
          <w:rFonts w:asciiTheme="minorHAnsi" w:hAnsiTheme="minorHAnsi" w:cstheme="minorHAnsi"/>
          <w:sz w:val="22"/>
        </w:rPr>
        <w:t xml:space="preserve"> </w:t>
      </w:r>
    </w:p>
    <w:p w14:paraId="450510B0" w14:textId="77777777" w:rsidR="009B4C2E" w:rsidRPr="0046608F" w:rsidRDefault="000336F3" w:rsidP="00C91EFF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i/>
          <w:iCs/>
          <w:sz w:val="22"/>
        </w:rPr>
        <w:t xml:space="preserve">Seeking Safety </w:t>
      </w:r>
      <w:r w:rsidR="009B4C2E" w:rsidRPr="005E4649">
        <w:rPr>
          <w:rFonts w:asciiTheme="minorHAnsi" w:hAnsiTheme="minorHAnsi" w:cstheme="minorHAnsi"/>
          <w:i/>
          <w:iCs/>
          <w:sz w:val="22"/>
        </w:rPr>
        <w:t>implementation s</w:t>
      </w:r>
      <w:r w:rsidRPr="005E4649">
        <w:rPr>
          <w:rFonts w:asciiTheme="minorHAnsi" w:hAnsiTheme="minorHAnsi" w:cstheme="minorHAnsi"/>
          <w:i/>
          <w:iCs/>
          <w:sz w:val="22"/>
        </w:rPr>
        <w:t>trategies</w:t>
      </w:r>
    </w:p>
    <w:p w14:paraId="22966E5C" w14:textId="13F632D1" w:rsidR="0046608F" w:rsidRPr="0046608F" w:rsidRDefault="0046608F" w:rsidP="0046608F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i/>
          <w:iCs/>
          <w:sz w:val="22"/>
        </w:rPr>
        <w:t xml:space="preserve">Implementing Seeking Safety for trauma and/or </w:t>
      </w:r>
      <w:r>
        <w:rPr>
          <w:rFonts w:asciiTheme="minorHAnsi" w:hAnsiTheme="minorHAnsi" w:cstheme="minorHAnsi"/>
          <w:i/>
          <w:iCs/>
          <w:sz w:val="22"/>
        </w:rPr>
        <w:t>addiction</w:t>
      </w:r>
    </w:p>
    <w:p w14:paraId="6E5E159D" w14:textId="77777777" w:rsidR="009B4C2E" w:rsidRPr="005E4649" w:rsidRDefault="009B4C2E" w:rsidP="00C91EFF">
      <w:pPr>
        <w:rPr>
          <w:rFonts w:asciiTheme="minorHAnsi" w:hAnsiTheme="minorHAnsi" w:cstheme="minorHAnsi"/>
          <w:i/>
          <w:iCs/>
          <w:sz w:val="22"/>
        </w:rPr>
      </w:pPr>
    </w:p>
    <w:p w14:paraId="2A701488" w14:textId="77777777" w:rsidR="000336F3" w:rsidRPr="005E4649" w:rsidRDefault="009B4C2E" w:rsidP="00C91EFF">
      <w:pPr>
        <w:rPr>
          <w:rFonts w:asciiTheme="minorHAnsi" w:hAnsiTheme="minorHAnsi" w:cstheme="minorHAnsi"/>
          <w:b/>
          <w:i/>
          <w:iCs/>
          <w:sz w:val="22"/>
        </w:rPr>
      </w:pPr>
      <w:r w:rsidRPr="005E4649">
        <w:rPr>
          <w:rFonts w:asciiTheme="minorHAnsi" w:hAnsiTheme="minorHAnsi" w:cstheme="minorHAnsi"/>
          <w:b/>
          <w:sz w:val="22"/>
        </w:rPr>
        <w:t>Intended audience</w:t>
      </w:r>
    </w:p>
    <w:p w14:paraId="28D07FD9" w14:textId="2AA94772" w:rsidR="009B4C2E" w:rsidRPr="0046608F" w:rsidRDefault="000336F3" w:rsidP="00C91EFF">
      <w:pPr>
        <w:pStyle w:val="Blockquote"/>
        <w:spacing w:before="0" w:after="0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>Professionals</w:t>
      </w:r>
      <w:r w:rsidR="009B4C2E" w:rsidRPr="005E46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E4649">
        <w:rPr>
          <w:rFonts w:asciiTheme="minorHAnsi" w:hAnsiTheme="minorHAnsi" w:cstheme="minorHAnsi"/>
          <w:bCs/>
          <w:sz w:val="22"/>
          <w:szCs w:val="22"/>
        </w:rPr>
        <w:t>trainees</w:t>
      </w:r>
      <w:r w:rsidR="009B4C2E" w:rsidRPr="005E4649">
        <w:rPr>
          <w:rFonts w:asciiTheme="minorHAnsi" w:hAnsiTheme="minorHAnsi" w:cstheme="minorHAnsi"/>
          <w:bCs/>
          <w:sz w:val="22"/>
          <w:szCs w:val="22"/>
        </w:rPr>
        <w:t>, paraprofessionals, or peers</w:t>
      </w:r>
      <w:r w:rsidRPr="005E4649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1D4527">
        <w:rPr>
          <w:rFonts w:asciiTheme="minorHAnsi" w:hAnsiTheme="minorHAnsi" w:cstheme="minorHAnsi"/>
          <w:bCs/>
          <w:sz w:val="22"/>
          <w:szCs w:val="22"/>
        </w:rPr>
        <w:t>addiction</w:t>
      </w:r>
      <w:r w:rsidRPr="005E4649">
        <w:rPr>
          <w:rFonts w:asciiTheme="minorHAnsi" w:hAnsiTheme="minorHAnsi" w:cstheme="minorHAnsi"/>
          <w:bCs/>
          <w:sz w:val="22"/>
          <w:szCs w:val="22"/>
        </w:rPr>
        <w:t xml:space="preserve"> treatment, mental health treatment, and allied areas such as nursing.  </w:t>
      </w:r>
      <w:r w:rsidRPr="0046608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Note: this workshop is </w:t>
      </w:r>
      <w:r w:rsidRPr="0046608F">
        <w:rPr>
          <w:rFonts w:asciiTheme="minorHAnsi" w:hAnsiTheme="minorHAnsi" w:cstheme="minorHAnsi"/>
          <w:i/>
          <w:iCs/>
          <w:sz w:val="22"/>
          <w:szCs w:val="22"/>
        </w:rPr>
        <w:t>designed for those who have alr</w:t>
      </w:r>
      <w:r w:rsidR="009B4C2E" w:rsidRPr="0046608F">
        <w:rPr>
          <w:rFonts w:asciiTheme="minorHAnsi" w:hAnsiTheme="minorHAnsi" w:cstheme="minorHAnsi"/>
          <w:i/>
          <w:iCs/>
          <w:sz w:val="22"/>
          <w:szCs w:val="22"/>
        </w:rPr>
        <w:t xml:space="preserve">eady </w:t>
      </w:r>
      <w:r w:rsidR="0046608F" w:rsidRPr="0046608F">
        <w:rPr>
          <w:rFonts w:asciiTheme="minorHAnsi" w:hAnsiTheme="minorHAnsi" w:cstheme="minorHAnsi"/>
          <w:i/>
          <w:iCs/>
          <w:sz w:val="22"/>
          <w:szCs w:val="22"/>
        </w:rPr>
        <w:t xml:space="preserve">attended </w:t>
      </w:r>
      <w:r w:rsidR="009B4C2E" w:rsidRPr="0046608F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A77B58" w:rsidRPr="0046608F">
        <w:rPr>
          <w:rFonts w:asciiTheme="minorHAnsi" w:hAnsiTheme="minorHAnsi" w:cstheme="minorHAnsi"/>
          <w:i/>
          <w:iCs/>
          <w:sz w:val="22"/>
          <w:szCs w:val="22"/>
        </w:rPr>
        <w:t>n overview of Seeking Safety by Lisa Naja</w:t>
      </w:r>
      <w:r w:rsidRPr="0046608F">
        <w:rPr>
          <w:rFonts w:asciiTheme="minorHAnsi" w:hAnsiTheme="minorHAnsi" w:cstheme="minorHAnsi"/>
          <w:i/>
          <w:iCs/>
          <w:sz w:val="22"/>
          <w:szCs w:val="22"/>
        </w:rPr>
        <w:t>vits or her associates</w:t>
      </w:r>
      <w:r w:rsidR="009B4C2E" w:rsidRPr="0046608F">
        <w:rPr>
          <w:rFonts w:asciiTheme="minorHAnsi" w:hAnsiTheme="minorHAnsi" w:cstheme="minorHAnsi"/>
          <w:i/>
          <w:iCs/>
          <w:sz w:val="22"/>
          <w:szCs w:val="22"/>
        </w:rPr>
        <w:t xml:space="preserve">, or had some prior training in Seeking Safety. </w:t>
      </w:r>
    </w:p>
    <w:p w14:paraId="61C56486" w14:textId="77777777" w:rsidR="00C91EFF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CAE4776" w14:textId="77777777" w:rsidR="00C91EFF" w:rsidRPr="005E4649" w:rsidRDefault="000336F3" w:rsidP="00C91EFF">
      <w:pPr>
        <w:pStyle w:val="Blockquote"/>
        <w:spacing w:before="0"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5E4649">
        <w:rPr>
          <w:rFonts w:asciiTheme="minorHAnsi" w:hAnsiTheme="minorHAnsi" w:cstheme="minorHAnsi"/>
          <w:b/>
          <w:sz w:val="22"/>
          <w:szCs w:val="22"/>
        </w:rPr>
        <w:t>Summary of program content</w:t>
      </w:r>
    </w:p>
    <w:p w14:paraId="74F87173" w14:textId="05EDE499" w:rsidR="009B4C2E" w:rsidRPr="005E4649" w:rsidRDefault="000336F3" w:rsidP="00C91EFF">
      <w:pPr>
        <w:pStyle w:val="Blockquote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  <w:r w:rsidRPr="005E4649">
        <w:rPr>
          <w:rFonts w:asciiTheme="minorHAnsi" w:hAnsiTheme="minorHAnsi" w:cstheme="minorHAnsi"/>
          <w:sz w:val="22"/>
          <w:szCs w:val="22"/>
        </w:rPr>
        <w:t xml:space="preserve">This workshop </w:t>
      </w:r>
      <w:r w:rsidR="009B4C2E" w:rsidRPr="005E4649">
        <w:rPr>
          <w:rFonts w:asciiTheme="minorHAnsi" w:hAnsiTheme="minorHAnsi" w:cstheme="minorHAnsi"/>
          <w:sz w:val="22"/>
          <w:szCs w:val="22"/>
        </w:rPr>
        <w:t xml:space="preserve">explores </w:t>
      </w:r>
      <w:r w:rsidRPr="005E4649">
        <w:rPr>
          <w:rFonts w:asciiTheme="minorHAnsi" w:hAnsiTheme="minorHAnsi" w:cstheme="minorHAnsi"/>
          <w:sz w:val="22"/>
          <w:szCs w:val="22"/>
        </w:rPr>
        <w:t>how Seeking Safety is implemented in clinical settings.  Seeking Safety is an e</w:t>
      </w:r>
      <w:r w:rsidR="009B4C2E" w:rsidRPr="005E4649">
        <w:rPr>
          <w:rFonts w:asciiTheme="minorHAnsi" w:hAnsiTheme="minorHAnsi" w:cstheme="minorHAnsi"/>
          <w:sz w:val="22"/>
          <w:szCs w:val="22"/>
        </w:rPr>
        <w:t>vidence-based model f</w:t>
      </w:r>
      <w:r w:rsidRPr="005E4649">
        <w:rPr>
          <w:rFonts w:asciiTheme="minorHAnsi" w:hAnsiTheme="minorHAnsi" w:cstheme="minorHAnsi"/>
          <w:sz w:val="22"/>
          <w:szCs w:val="22"/>
        </w:rPr>
        <w:t xml:space="preserve">or </w:t>
      </w:r>
      <w:r w:rsidR="001D4527">
        <w:rPr>
          <w:rFonts w:asciiTheme="minorHAnsi" w:hAnsiTheme="minorHAnsi" w:cstheme="minorHAnsi"/>
          <w:sz w:val="22"/>
          <w:szCs w:val="22"/>
        </w:rPr>
        <w:t>addiction</w:t>
      </w:r>
      <w:r w:rsidRPr="005E4649">
        <w:rPr>
          <w:rFonts w:asciiTheme="minorHAnsi" w:hAnsiTheme="minorHAnsi" w:cstheme="minorHAnsi"/>
          <w:sz w:val="22"/>
          <w:szCs w:val="22"/>
        </w:rPr>
        <w:t xml:space="preserve"> and</w:t>
      </w:r>
      <w:r w:rsidR="009B4C2E" w:rsidRPr="005E4649">
        <w:rPr>
          <w:rFonts w:asciiTheme="minorHAnsi" w:hAnsiTheme="minorHAnsi" w:cstheme="minorHAnsi"/>
          <w:sz w:val="22"/>
          <w:szCs w:val="22"/>
        </w:rPr>
        <w:t>/or</w:t>
      </w:r>
      <w:r w:rsidRPr="005E4649">
        <w:rPr>
          <w:rFonts w:asciiTheme="minorHAnsi" w:hAnsiTheme="minorHAnsi" w:cstheme="minorHAnsi"/>
          <w:sz w:val="22"/>
          <w:szCs w:val="22"/>
        </w:rPr>
        <w:t xml:space="preserve"> trauma.  </w:t>
      </w:r>
      <w:r w:rsidR="009B4C2E" w:rsidRPr="005E4649">
        <w:rPr>
          <w:rFonts w:asciiTheme="minorHAnsi" w:hAnsiTheme="minorHAnsi" w:cstheme="minorHAnsi"/>
          <w:sz w:val="22"/>
          <w:szCs w:val="22"/>
        </w:rPr>
        <w:t xml:space="preserve">It is </w:t>
      </w:r>
      <w:r w:rsidRPr="005E4649">
        <w:rPr>
          <w:rFonts w:asciiTheme="minorHAnsi" w:hAnsiTheme="minorHAnsi" w:cstheme="minorHAnsi"/>
          <w:sz w:val="22"/>
          <w:szCs w:val="22"/>
        </w:rPr>
        <w:t>present-focused</w:t>
      </w:r>
      <w:r w:rsidR="009B4C2E" w:rsidRPr="005E4649">
        <w:rPr>
          <w:rFonts w:asciiTheme="minorHAnsi" w:hAnsiTheme="minorHAnsi" w:cstheme="minorHAnsi"/>
          <w:sz w:val="22"/>
          <w:szCs w:val="22"/>
        </w:rPr>
        <w:t>, offering</w:t>
      </w:r>
      <w:r w:rsidRPr="005E4649">
        <w:rPr>
          <w:rFonts w:asciiTheme="minorHAnsi" w:hAnsiTheme="minorHAnsi" w:cstheme="minorHAnsi"/>
          <w:sz w:val="22"/>
          <w:szCs w:val="22"/>
        </w:rPr>
        <w:t xml:space="preserve"> coping skills to help clients attain safety in their lives.  It is highly flexible and designed for a wide variety of clients</w:t>
      </w:r>
      <w:r w:rsidR="009B4C2E" w:rsidRPr="005E4649">
        <w:rPr>
          <w:rFonts w:asciiTheme="minorHAnsi" w:hAnsiTheme="minorHAnsi" w:cstheme="minorHAnsi"/>
          <w:sz w:val="22"/>
          <w:szCs w:val="22"/>
        </w:rPr>
        <w:t>, clinicians,</w:t>
      </w:r>
      <w:r w:rsidRPr="005E4649">
        <w:rPr>
          <w:rFonts w:asciiTheme="minorHAnsi" w:hAnsiTheme="minorHAnsi" w:cstheme="minorHAnsi"/>
          <w:sz w:val="22"/>
          <w:szCs w:val="22"/>
        </w:rPr>
        <w:t xml:space="preserve"> and settings. The workshop addresses frequently asked questions when implementing Seeking Safety; o</w:t>
      </w:r>
      <w:r w:rsidR="009B4C2E" w:rsidRPr="005E4649">
        <w:rPr>
          <w:rFonts w:asciiTheme="minorHAnsi" w:hAnsiTheme="minorHAnsi" w:cstheme="minorHAnsi"/>
          <w:sz w:val="22"/>
          <w:szCs w:val="22"/>
        </w:rPr>
        <w:t>ffers the opportunity to role-play</w:t>
      </w:r>
      <w:r w:rsidRPr="005E4649">
        <w:rPr>
          <w:rFonts w:asciiTheme="minorHAnsi" w:hAnsiTheme="minorHAnsi" w:cstheme="minorHAnsi"/>
          <w:sz w:val="22"/>
          <w:szCs w:val="22"/>
        </w:rPr>
        <w:t xml:space="preserve"> a session in small group format; and explores topics such as adaptation of the model, how to combine it with</w:t>
      </w:r>
      <w:r w:rsidR="00625153">
        <w:rPr>
          <w:rFonts w:asciiTheme="minorHAnsi" w:hAnsiTheme="minorHAnsi" w:cstheme="minorHAnsi"/>
          <w:sz w:val="22"/>
          <w:szCs w:val="22"/>
        </w:rPr>
        <w:t xml:space="preserve"> other </w:t>
      </w:r>
      <w:r w:rsidRPr="005E4649">
        <w:rPr>
          <w:rFonts w:asciiTheme="minorHAnsi" w:hAnsiTheme="minorHAnsi" w:cstheme="minorHAnsi"/>
          <w:sz w:val="22"/>
          <w:szCs w:val="22"/>
        </w:rPr>
        <w:t xml:space="preserve">trauma </w:t>
      </w:r>
      <w:r w:rsidR="00625153">
        <w:rPr>
          <w:rFonts w:asciiTheme="minorHAnsi" w:hAnsiTheme="minorHAnsi" w:cstheme="minorHAnsi"/>
          <w:sz w:val="22"/>
          <w:szCs w:val="22"/>
        </w:rPr>
        <w:t xml:space="preserve">and addiction </w:t>
      </w:r>
      <w:r w:rsidRPr="005E4649">
        <w:rPr>
          <w:rFonts w:asciiTheme="minorHAnsi" w:hAnsiTheme="minorHAnsi" w:cstheme="minorHAnsi"/>
          <w:sz w:val="22"/>
          <w:szCs w:val="22"/>
        </w:rPr>
        <w:t xml:space="preserve">treatments, and ways to make it as effective as possible. The workshop will be highly clinically-oriented, interactive, and allow ample time for questions.  </w:t>
      </w:r>
    </w:p>
    <w:p w14:paraId="7A254515" w14:textId="77777777" w:rsidR="009B4C2E" w:rsidRPr="005E4649" w:rsidRDefault="009B4C2E" w:rsidP="00C91EFF">
      <w:pPr>
        <w:ind w:firstLine="360"/>
        <w:rPr>
          <w:rFonts w:asciiTheme="minorHAnsi" w:hAnsiTheme="minorHAnsi" w:cstheme="minorHAnsi"/>
          <w:sz w:val="22"/>
        </w:rPr>
      </w:pPr>
    </w:p>
    <w:p w14:paraId="02D81DA9" w14:textId="77777777" w:rsidR="000336F3" w:rsidRPr="005E4649" w:rsidRDefault="000336F3" w:rsidP="00C91EFF">
      <w:p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b/>
          <w:sz w:val="22"/>
        </w:rPr>
        <w:t>Educational objectives</w:t>
      </w:r>
    </w:p>
    <w:p w14:paraId="37F68694" w14:textId="77777777" w:rsidR="000336F3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>To learn frequently-asked questions in implementing Seeking Safety</w:t>
      </w:r>
    </w:p>
    <w:p w14:paraId="0795BFBA" w14:textId="77777777" w:rsidR="000336F3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>To explore challenges that may arise when conducting Seeking Safety</w:t>
      </w:r>
    </w:p>
    <w:p w14:paraId="16E8F287" w14:textId="65A1AE79" w:rsidR="009B4C2E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9B4C2E" w:rsidRPr="005E4649">
        <w:rPr>
          <w:rFonts w:asciiTheme="minorHAnsi" w:hAnsiTheme="minorHAnsi" w:cstheme="minorHAnsi"/>
          <w:bCs/>
          <w:sz w:val="22"/>
          <w:szCs w:val="22"/>
        </w:rPr>
        <w:t xml:space="preserve">address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 xml:space="preserve">clinical dilemmas in the treatment of </w:t>
      </w:r>
      <w:r w:rsidR="00625153">
        <w:rPr>
          <w:rFonts w:asciiTheme="minorHAnsi" w:hAnsiTheme="minorHAnsi" w:cstheme="minorHAnsi"/>
          <w:bCs/>
          <w:sz w:val="22"/>
          <w:szCs w:val="22"/>
        </w:rPr>
        <w:t xml:space="preserve">trauma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1D4527">
        <w:rPr>
          <w:rFonts w:asciiTheme="minorHAnsi" w:hAnsiTheme="minorHAnsi" w:cstheme="minorHAnsi"/>
          <w:bCs/>
          <w:sz w:val="22"/>
          <w:szCs w:val="22"/>
        </w:rPr>
        <w:t>addiction</w:t>
      </w:r>
    </w:p>
    <w:p w14:paraId="01ACE21D" w14:textId="77777777" w:rsidR="009B4C2E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 xml:space="preserve">To understand how a manual-based treatment is implemented </w:t>
      </w:r>
    </w:p>
    <w:p w14:paraId="606B276F" w14:textId="77777777" w:rsidR="00C91EFF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9D4B04F" w14:textId="77777777" w:rsidR="009B4C2E" w:rsidRPr="005E4649" w:rsidRDefault="000336F3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F57206" w:rsidRPr="005E4649">
        <w:rPr>
          <w:rFonts w:asciiTheme="minorHAnsi" w:hAnsiTheme="minorHAnsi" w:cstheme="minorHAnsi"/>
          <w:b/>
          <w:sz w:val="22"/>
          <w:szCs w:val="22"/>
        </w:rPr>
        <w:instrText xml:space="preserve"> INCLUDEPICTURE "C:\\Users\\Downloads\\other\\box2.gif" \* MERGEFORMAT \d </w:instrText>
      </w:r>
      <w:r w:rsidRPr="005E4649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E4649">
        <w:rPr>
          <w:rFonts w:asciiTheme="minorHAnsi" w:hAnsiTheme="minorHAnsi" w:cstheme="minorHAnsi"/>
          <w:b/>
          <w:sz w:val="22"/>
          <w:szCs w:val="22"/>
        </w:rPr>
        <w:t xml:space="preserve">Course outline </w:t>
      </w:r>
    </w:p>
    <w:p w14:paraId="3F7C8F28" w14:textId="77777777" w:rsidR="009B4C2E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 xml:space="preserve">Implementation strategies: how to help clients learn new coping skills; client and clinician selection criteria; group versus individual treatment; use with trauma processing models; changing the treatment based on length of stay; how to incorporate new members into a group; when should clients be dismissed from group.  </w:t>
      </w:r>
    </w:p>
    <w:p w14:paraId="288CBDCF" w14:textId="77777777" w:rsidR="009B4C2E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 xml:space="preserve">Frequently asked questions (e.g., How can Seeking Safety be used for mixed-gender groups? teens? suicidal clients?; How can the clinician respond if a client brings up trauma details?).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ab/>
      </w:r>
    </w:p>
    <w:p w14:paraId="3A5A8498" w14:textId="77777777" w:rsidR="000336F3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9B4C2E" w:rsidRPr="005E4649">
        <w:rPr>
          <w:rFonts w:asciiTheme="minorHAnsi" w:hAnsiTheme="minorHAnsi" w:cstheme="minorHAnsi"/>
          <w:bCs/>
          <w:sz w:val="22"/>
          <w:szCs w:val="22"/>
        </w:rPr>
        <w:t>Role-play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>:  small-group exercise in which participants play either a clinician or client and try out the format and one topic of Seeking Safety.</w:t>
      </w:r>
    </w:p>
    <w:p w14:paraId="3D9D7F41" w14:textId="77777777" w:rsidR="009B4C2E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>R</w:t>
      </w:r>
      <w:r w:rsidR="009B4C2E" w:rsidRPr="005E4649">
        <w:rPr>
          <w:rFonts w:asciiTheme="minorHAnsi" w:hAnsiTheme="minorHAnsi" w:cstheme="minorHAnsi"/>
          <w:bCs/>
          <w:sz w:val="22"/>
          <w:szCs w:val="22"/>
        </w:rPr>
        <w:t>ehearse</w:t>
      </w:r>
      <w:r w:rsidR="000336F3" w:rsidRPr="005E4649">
        <w:rPr>
          <w:rFonts w:asciiTheme="minorHAnsi" w:hAnsiTheme="minorHAnsi" w:cstheme="minorHAnsi"/>
          <w:bCs/>
          <w:sz w:val="22"/>
          <w:szCs w:val="22"/>
        </w:rPr>
        <w:t xml:space="preserve"> “tough cases”.</w:t>
      </w:r>
    </w:p>
    <w:p w14:paraId="5E27B7C1" w14:textId="77777777" w:rsidR="00C91EFF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1D2817D" w14:textId="2A98A065" w:rsidR="0070307F" w:rsidRPr="004144BB" w:rsidRDefault="0070307F" w:rsidP="0070307F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4144BB">
        <w:rPr>
          <w:rFonts w:asciiTheme="minorHAnsi" w:hAnsiTheme="minorHAnsi" w:cstheme="minorHAnsi"/>
          <w:b/>
          <w:color w:val="000000"/>
          <w:sz w:val="22"/>
        </w:rPr>
        <w:t xml:space="preserve">Audiovisual (if an onsite training): </w:t>
      </w:r>
      <w:r w:rsidRPr="004144BB">
        <w:rPr>
          <w:rFonts w:asciiTheme="minorHAnsi" w:hAnsiTheme="minorHAnsi" w:cstheme="minorHAnsi"/>
          <w:color w:val="000000"/>
          <w:sz w:val="22"/>
        </w:rPr>
        <w:t xml:space="preserve">LCD projector; audio setup </w:t>
      </w:r>
      <w:r>
        <w:rPr>
          <w:rFonts w:asciiTheme="minorHAnsi" w:hAnsiTheme="minorHAnsi" w:cstheme="minorHAnsi"/>
          <w:color w:val="000000"/>
          <w:sz w:val="22"/>
        </w:rPr>
        <w:t>(</w:t>
      </w:r>
      <w:r w:rsidRPr="004144BB">
        <w:rPr>
          <w:rFonts w:asciiTheme="minorHAnsi" w:hAnsiTheme="minorHAnsi" w:cstheme="minorHAnsi"/>
          <w:color w:val="000000"/>
          <w:sz w:val="22"/>
        </w:rPr>
        <w:t>to show video segments); microphone (any type is fine)</w:t>
      </w:r>
    </w:p>
    <w:p w14:paraId="63BE74B8" w14:textId="77777777" w:rsidR="0070307F" w:rsidRPr="00452862" w:rsidRDefault="0070307F" w:rsidP="0070307F">
      <w:pPr>
        <w:widowControl w:val="0"/>
        <w:rPr>
          <w:rFonts w:asciiTheme="minorHAnsi" w:hAnsiTheme="minorHAnsi" w:cstheme="minorHAnsi"/>
          <w:color w:val="000000"/>
          <w:sz w:val="22"/>
        </w:rPr>
      </w:pPr>
    </w:p>
    <w:p w14:paraId="1C90AEA8" w14:textId="77777777" w:rsidR="0070307F" w:rsidRPr="00306914" w:rsidRDefault="0070307F" w:rsidP="0070307F">
      <w:pPr>
        <w:rPr>
          <w:rFonts w:asciiTheme="minorHAnsi" w:hAnsiTheme="minorHAnsi" w:cstheme="minorHAnsi"/>
          <w:b/>
          <w:color w:val="000000"/>
          <w:sz w:val="22"/>
        </w:rPr>
      </w:pPr>
      <w:r w:rsidRPr="00306914">
        <w:rPr>
          <w:rFonts w:asciiTheme="minorHAnsi" w:hAnsiTheme="minorHAnsi" w:cstheme="minorHAnsi"/>
          <w:b/>
          <w:color w:val="000000"/>
          <w:sz w:val="22"/>
        </w:rPr>
        <w:t xml:space="preserve">Methods of instruction: </w:t>
      </w:r>
      <w:r w:rsidRPr="00306914">
        <w:rPr>
          <w:rFonts w:asciiTheme="minorHAnsi" w:hAnsiTheme="minorHAnsi" w:cstheme="minorHAnsi"/>
          <w:bCs/>
          <w:color w:val="000000"/>
          <w:sz w:val="22"/>
        </w:rPr>
        <w:t>lecture, slides, video clips</w:t>
      </w:r>
      <w:r>
        <w:rPr>
          <w:rFonts w:asciiTheme="minorHAnsi" w:hAnsiTheme="minorHAnsi" w:cstheme="minorHAnsi"/>
          <w:bCs/>
          <w:color w:val="000000"/>
          <w:sz w:val="22"/>
        </w:rPr>
        <w:t xml:space="preserve"> (if time allows)</w:t>
      </w:r>
      <w:r w:rsidRPr="00306914">
        <w:rPr>
          <w:rFonts w:asciiTheme="minorHAnsi" w:hAnsiTheme="minorHAnsi" w:cstheme="minorHAnsi"/>
          <w:bCs/>
          <w:color w:val="000000"/>
          <w:sz w:val="22"/>
        </w:rPr>
        <w:t>, question/answer.</w:t>
      </w:r>
    </w:p>
    <w:p w14:paraId="248B782A" w14:textId="77777777" w:rsidR="00C91EFF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58DB36F" w14:textId="77777777" w:rsidR="000336F3" w:rsidRPr="005E4649" w:rsidRDefault="000336F3" w:rsidP="00C91EFF">
      <w:pPr>
        <w:pStyle w:val="Blockquote"/>
        <w:spacing w:before="0"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E4649"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14:paraId="78296A6F" w14:textId="77777777" w:rsidR="00A77B58" w:rsidRPr="005E4649" w:rsidRDefault="00A77B58" w:rsidP="00C91EFF">
      <w:pPr>
        <w:autoSpaceDE w:val="0"/>
        <w:autoSpaceDN w:val="0"/>
        <w:adjustRightInd w:val="0"/>
        <w:rPr>
          <w:rFonts w:asciiTheme="minorHAnsi" w:eastAsia="MS Mincho" w:hAnsiTheme="minorHAnsi" w:cstheme="minorHAnsi"/>
          <w:sz w:val="22"/>
          <w:lang w:eastAsia="ja-JP"/>
        </w:rPr>
      </w:pPr>
    </w:p>
    <w:p w14:paraId="68F36A66" w14:textId="77777777" w:rsidR="005D2635" w:rsidRPr="00431932" w:rsidRDefault="005D2635" w:rsidP="005D2635">
      <w:pPr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 xml:space="preserve">Black, C. (2018). </w:t>
      </w:r>
      <w:r w:rsidRPr="00431932">
        <w:rPr>
          <w:rFonts w:asciiTheme="minorHAnsi" w:hAnsiTheme="minorHAnsi" w:cstheme="minorHAnsi"/>
          <w:i/>
          <w:iCs/>
          <w:sz w:val="22"/>
        </w:rPr>
        <w:t>Unspoken Legacy: Addressing the Impact of Trauma and Addiction within the Family</w:t>
      </w:r>
      <w:r w:rsidRPr="00431932">
        <w:rPr>
          <w:rFonts w:asciiTheme="minorHAnsi" w:hAnsiTheme="minorHAnsi" w:cstheme="minorHAnsi"/>
          <w:sz w:val="22"/>
        </w:rPr>
        <w:t>. Las Vegas: Central Recovery Press.</w:t>
      </w:r>
    </w:p>
    <w:p w14:paraId="5D45C3C3" w14:textId="77777777" w:rsidR="005D2635" w:rsidRPr="00431932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58740194" w14:textId="77777777" w:rsidR="005D2635" w:rsidRPr="00431932" w:rsidRDefault="005D2635" w:rsidP="005D2635">
      <w:pPr>
        <w:contextualSpacing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lastRenderedPageBreak/>
        <w:t xml:space="preserve">Briere, J. N., &amp; Scott, C. (2014). </w:t>
      </w:r>
      <w:r w:rsidRPr="00431932">
        <w:rPr>
          <w:rFonts w:asciiTheme="minorHAnsi" w:hAnsiTheme="minorHAnsi" w:cstheme="minorHAnsi"/>
          <w:i/>
          <w:iCs/>
          <w:sz w:val="22"/>
        </w:rPr>
        <w:t>Principles of Trauma Therapy: A Guide to Symptoms, Evaluation, and</w:t>
      </w:r>
    </w:p>
    <w:p w14:paraId="756D80A0" w14:textId="77777777" w:rsidR="005D2635" w:rsidRPr="00431932" w:rsidRDefault="005D2635" w:rsidP="005D263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i/>
          <w:iCs/>
          <w:sz w:val="22"/>
        </w:rPr>
        <w:t>Treatment (DSM-5 Edition)</w:t>
      </w:r>
      <w:r w:rsidRPr="00431932">
        <w:rPr>
          <w:rFonts w:asciiTheme="minorHAnsi" w:hAnsiTheme="minorHAnsi" w:cstheme="minorHAnsi"/>
          <w:sz w:val="22"/>
        </w:rPr>
        <w:t>. Thousand Oaks, CA: Sage Publications.</w:t>
      </w:r>
    </w:p>
    <w:p w14:paraId="04EC6F9E" w14:textId="77777777" w:rsidR="005D2635" w:rsidRPr="00431932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D82ACAD" w14:textId="77777777" w:rsidR="005D2635" w:rsidRPr="00431932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 xml:space="preserve">Herman, J. L. (1992). </w:t>
      </w:r>
      <w:r w:rsidRPr="00431932">
        <w:rPr>
          <w:rFonts w:asciiTheme="minorHAnsi" w:hAnsiTheme="minorHAnsi" w:cstheme="minorHAnsi"/>
          <w:i/>
          <w:iCs/>
          <w:sz w:val="22"/>
        </w:rPr>
        <w:t>Trauma and Recovery</w:t>
      </w:r>
      <w:r w:rsidRPr="00431932">
        <w:rPr>
          <w:rFonts w:asciiTheme="minorHAnsi" w:hAnsiTheme="minorHAnsi" w:cstheme="minorHAnsi"/>
          <w:sz w:val="22"/>
        </w:rPr>
        <w:t>. New York: Basic Books.</w:t>
      </w:r>
    </w:p>
    <w:p w14:paraId="19277677" w14:textId="77777777" w:rsidR="005D2635" w:rsidRPr="00431932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19F87266" w14:textId="77777777" w:rsidR="005D2635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 xml:space="preserve">Herman, J. L. (2023). </w:t>
      </w:r>
      <w:r w:rsidRPr="00431932">
        <w:rPr>
          <w:rFonts w:asciiTheme="minorHAnsi" w:hAnsiTheme="minorHAnsi" w:cstheme="minorHAnsi"/>
          <w:i/>
          <w:iCs/>
          <w:sz w:val="22"/>
        </w:rPr>
        <w:t>Truth and Repair</w:t>
      </w:r>
      <w:r w:rsidRPr="00431932">
        <w:rPr>
          <w:rFonts w:asciiTheme="minorHAnsi" w:hAnsiTheme="minorHAnsi" w:cstheme="minorHAnsi"/>
          <w:sz w:val="22"/>
        </w:rPr>
        <w:t>. New York: Basic Books.</w:t>
      </w:r>
    </w:p>
    <w:p w14:paraId="6B496B40" w14:textId="77777777" w:rsidR="005D2635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AA458ED" w14:textId="77777777" w:rsidR="005D2635" w:rsidRPr="00AF6BDF" w:rsidRDefault="005D2635" w:rsidP="005D2635">
      <w:pPr>
        <w:contextualSpacing/>
        <w:rPr>
          <w:rFonts w:ascii="Calibri" w:hAnsi="Calibri" w:cs="Calibri"/>
          <w:sz w:val="22"/>
        </w:rPr>
      </w:pPr>
      <w:bookmarkStart w:id="0" w:name="_Hlk154517876"/>
      <w:r w:rsidRPr="00AF6BDF">
        <w:rPr>
          <w:rFonts w:ascii="Calibri" w:hAnsi="Calibri" w:cs="Calibri"/>
          <w:sz w:val="22"/>
        </w:rPr>
        <w:t xml:space="preserve">Krause, S. (2023). Adolescent Toolkit for Seeking Safety. See </w:t>
      </w:r>
      <w:hyperlink r:id="rId7" w:history="1">
        <w:r w:rsidRPr="00AF6BDF">
          <w:rPr>
            <w:rFonts w:ascii="Calibri" w:hAnsi="Calibri" w:cs="Calibri"/>
            <w:sz w:val="22"/>
          </w:rPr>
          <w:t>www.seekingsafety.org</w:t>
        </w:r>
      </w:hyperlink>
      <w:r w:rsidRPr="00AF6BDF">
        <w:rPr>
          <w:rFonts w:ascii="Calibri" w:hAnsi="Calibri" w:cs="Calibri"/>
          <w:sz w:val="22"/>
        </w:rPr>
        <w:t xml:space="preserve">. </w:t>
      </w:r>
    </w:p>
    <w:bookmarkEnd w:id="0"/>
    <w:p w14:paraId="0DF484D8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</w:p>
    <w:p w14:paraId="789918F9" w14:textId="77777777" w:rsidR="005D2635" w:rsidRPr="00431932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 xml:space="preserve">Najavits, L. M. (2002). </w:t>
      </w:r>
      <w:r w:rsidRPr="00431932">
        <w:rPr>
          <w:rFonts w:asciiTheme="minorHAnsi" w:hAnsiTheme="minorHAnsi" w:cstheme="minorHAnsi"/>
          <w:i/>
          <w:iCs/>
          <w:sz w:val="22"/>
        </w:rPr>
        <w:t>Seeking Safety: A Treatment Manual for PTSD and Substance Abuse</w:t>
      </w:r>
      <w:r w:rsidRPr="00431932">
        <w:rPr>
          <w:rFonts w:asciiTheme="minorHAnsi" w:hAnsiTheme="minorHAnsi" w:cstheme="minorHAnsi"/>
          <w:sz w:val="22"/>
        </w:rPr>
        <w:t>. New York: Guilford.</w:t>
      </w:r>
    </w:p>
    <w:p w14:paraId="246005BD" w14:textId="77777777" w:rsidR="005D2635" w:rsidRPr="00431932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12C8F21D" w14:textId="77777777" w:rsidR="005D2635" w:rsidRPr="00431932" w:rsidRDefault="005D2635" w:rsidP="005D2635">
      <w:pPr>
        <w:widowControl w:val="0"/>
        <w:rPr>
          <w:rFonts w:asciiTheme="minorHAnsi" w:hAnsiTheme="minorHAnsi" w:cstheme="minorHAnsi"/>
          <w:color w:val="000000"/>
          <w:sz w:val="22"/>
        </w:rPr>
      </w:pPr>
      <w:r w:rsidRPr="00431932">
        <w:rPr>
          <w:rFonts w:asciiTheme="minorHAnsi" w:hAnsiTheme="minorHAnsi" w:cstheme="minorHAnsi"/>
          <w:color w:val="000000"/>
          <w:sz w:val="22"/>
        </w:rPr>
        <w:t xml:space="preserve">Najavits, L.M. (2019). </w:t>
      </w:r>
      <w:r w:rsidRPr="00431932">
        <w:rPr>
          <w:rFonts w:asciiTheme="minorHAnsi" w:hAnsiTheme="minorHAnsi" w:cstheme="minorHAnsi"/>
          <w:i/>
          <w:color w:val="000000"/>
          <w:sz w:val="22"/>
        </w:rPr>
        <w:t xml:space="preserve">Finding Your Best Self: Recovery from Addiction, Trauma or Both. </w:t>
      </w:r>
      <w:r w:rsidRPr="00431932">
        <w:rPr>
          <w:rFonts w:asciiTheme="minorHAnsi" w:hAnsiTheme="minorHAnsi" w:cstheme="minorHAnsi"/>
          <w:color w:val="000000"/>
          <w:sz w:val="22"/>
        </w:rPr>
        <w:t xml:space="preserve">New York: Guilford. </w:t>
      </w:r>
    </w:p>
    <w:p w14:paraId="41FCFCD4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</w:p>
    <w:p w14:paraId="217C36FF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r w:rsidRPr="00431932">
        <w:rPr>
          <w:rFonts w:asciiTheme="minorHAnsi" w:hAnsiTheme="minorHAnsi" w:cstheme="minorHAnsi"/>
          <w:color w:val="222222"/>
          <w:sz w:val="22"/>
          <w:shd w:val="clear" w:color="auto" w:fill="FFFFFF"/>
        </w:rPr>
        <w:t>Najavits, L.M., Clark, H.W., DiClemente, C.C., Potenza, M.N., Shaffer, H.J., Sorensen, J.L., Tull, M.T.,</w:t>
      </w:r>
    </w:p>
    <w:p w14:paraId="35569048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r w:rsidRPr="00431932">
        <w:rPr>
          <w:rFonts w:asciiTheme="minorHAnsi" w:hAnsiTheme="minorHAnsi" w:cstheme="minorHAnsi"/>
          <w:color w:val="222222"/>
          <w:sz w:val="22"/>
          <w:shd w:val="clear" w:color="auto" w:fill="FFFFFF"/>
        </w:rPr>
        <w:t>Zweben, A. &amp; Zweben, J.E. (2020). PTSD/Substance Use Disorder Comorbidity: Treatment Options and</w:t>
      </w:r>
    </w:p>
    <w:p w14:paraId="54E9E41C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color w:val="222222"/>
          <w:sz w:val="22"/>
          <w:shd w:val="clear" w:color="auto" w:fill="FFFFFF"/>
        </w:rPr>
        <w:t>Public Health Needs. </w:t>
      </w:r>
      <w:r w:rsidRPr="00431932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>Current Treatment Options in Psychiatry</w:t>
      </w:r>
      <w:r w:rsidRPr="00431932">
        <w:rPr>
          <w:rFonts w:asciiTheme="minorHAnsi" w:hAnsiTheme="minorHAnsi" w:cstheme="minorHAnsi"/>
          <w:color w:val="222222"/>
          <w:sz w:val="22"/>
          <w:shd w:val="clear" w:color="auto" w:fill="FFFFFF"/>
        </w:rPr>
        <w:t>, pp.1-15.</w:t>
      </w:r>
    </w:p>
    <w:p w14:paraId="2BE0EABA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</w:p>
    <w:p w14:paraId="6E99B244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>Najavits, L. M. (2022). Trauma and Substance Abuse: A Counselor's Guide To Treatment. In M. Cloitre &amp; U.</w:t>
      </w:r>
    </w:p>
    <w:p w14:paraId="1958CC99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 xml:space="preserve">Schynder (Eds.), </w:t>
      </w:r>
      <w:r w:rsidRPr="00431932">
        <w:rPr>
          <w:rFonts w:asciiTheme="minorHAnsi" w:hAnsiTheme="minorHAnsi" w:cstheme="minorHAnsi"/>
          <w:i/>
          <w:iCs/>
          <w:sz w:val="22"/>
        </w:rPr>
        <w:t>Evidence-Based Treatments for Trauma-Related Disorders</w:t>
      </w:r>
      <w:r w:rsidRPr="00431932">
        <w:rPr>
          <w:rFonts w:asciiTheme="minorHAnsi" w:hAnsiTheme="minorHAnsi" w:cstheme="minorHAnsi"/>
          <w:sz w:val="22"/>
        </w:rPr>
        <w:t xml:space="preserve"> </w:t>
      </w:r>
      <w:r w:rsidRPr="00431932">
        <w:rPr>
          <w:rFonts w:asciiTheme="minorHAnsi" w:hAnsiTheme="minorHAnsi" w:cstheme="minorHAnsi"/>
          <w:i/>
          <w:iCs/>
          <w:sz w:val="22"/>
        </w:rPr>
        <w:t>(2</w:t>
      </w:r>
      <w:r w:rsidRPr="00431932">
        <w:rPr>
          <w:rFonts w:asciiTheme="minorHAnsi" w:hAnsiTheme="minorHAnsi" w:cstheme="minorHAnsi"/>
          <w:i/>
          <w:iCs/>
          <w:sz w:val="22"/>
          <w:vertAlign w:val="superscript"/>
        </w:rPr>
        <w:t>nd</w:t>
      </w:r>
      <w:r w:rsidRPr="00431932">
        <w:rPr>
          <w:rFonts w:asciiTheme="minorHAnsi" w:hAnsiTheme="minorHAnsi" w:cstheme="minorHAnsi"/>
          <w:i/>
          <w:iCs/>
          <w:sz w:val="22"/>
        </w:rPr>
        <w:t xml:space="preserve"> edition).</w:t>
      </w:r>
      <w:r w:rsidRPr="00431932">
        <w:rPr>
          <w:rFonts w:asciiTheme="minorHAnsi" w:hAnsiTheme="minorHAnsi" w:cstheme="minorHAnsi"/>
          <w:sz w:val="22"/>
        </w:rPr>
        <w:t xml:space="preserve"> Springer-Verlag.</w:t>
      </w:r>
    </w:p>
    <w:p w14:paraId="7EADC0A7" w14:textId="77777777" w:rsidR="005D2635" w:rsidRPr="00431932" w:rsidRDefault="005D2635" w:rsidP="005D263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AC4B3E9" w14:textId="77777777" w:rsidR="005D2635" w:rsidRPr="00431932" w:rsidRDefault="005D2635" w:rsidP="005D2635">
      <w:pPr>
        <w:adjustRightInd w:val="0"/>
        <w:rPr>
          <w:rFonts w:asciiTheme="minorHAnsi" w:eastAsia="Calibri" w:hAnsiTheme="minorHAnsi" w:cstheme="minorHAnsi"/>
          <w:color w:val="000000"/>
          <w:sz w:val="22"/>
        </w:rPr>
      </w:pPr>
      <w:r w:rsidRPr="00431932">
        <w:rPr>
          <w:rFonts w:asciiTheme="minorHAnsi" w:eastAsia="Calibri" w:hAnsiTheme="minorHAnsi" w:cstheme="minorHAnsi"/>
          <w:color w:val="000000"/>
          <w:sz w:val="22"/>
        </w:rPr>
        <w:t xml:space="preserve">Najavits, L.M. &amp; Krause, S. (2023). Group Delivery of Seeking Safety for Trauma and/or Addiction. In </w:t>
      </w:r>
      <w:r w:rsidRPr="00431932">
        <w:rPr>
          <w:rFonts w:asciiTheme="minorHAnsi" w:eastAsia="Calibri" w:hAnsiTheme="minorHAnsi" w:cstheme="minorHAnsi"/>
          <w:i/>
          <w:iCs/>
          <w:color w:val="000000"/>
          <w:sz w:val="22"/>
        </w:rPr>
        <w:t>Group Approaches to Treating Traumatic Stress in Adults</w:t>
      </w:r>
      <w:r w:rsidRPr="00431932">
        <w:rPr>
          <w:rFonts w:asciiTheme="minorHAnsi" w:eastAsia="Calibri" w:hAnsiTheme="minorHAnsi" w:cstheme="minorHAnsi"/>
          <w:color w:val="000000"/>
          <w:sz w:val="22"/>
        </w:rPr>
        <w:t xml:space="preserve"> (Ruzek, Yalch &amp; Burkman, eds.). New York: Guilford.</w:t>
      </w:r>
    </w:p>
    <w:p w14:paraId="1736EB8E" w14:textId="77777777" w:rsidR="005D2635" w:rsidRPr="00431932" w:rsidRDefault="005D2635" w:rsidP="005D2635">
      <w:pPr>
        <w:tabs>
          <w:tab w:val="left" w:pos="508"/>
        </w:tabs>
        <w:spacing w:line="241" w:lineRule="exact"/>
        <w:rPr>
          <w:rFonts w:asciiTheme="minorHAnsi" w:hAnsiTheme="minorHAnsi" w:cstheme="minorHAnsi"/>
          <w:color w:val="000000"/>
          <w:sz w:val="22"/>
        </w:rPr>
      </w:pPr>
    </w:p>
    <w:p w14:paraId="30F76E72" w14:textId="77777777" w:rsidR="005D2635" w:rsidRPr="00431932" w:rsidRDefault="005D2635" w:rsidP="005D2635">
      <w:pPr>
        <w:tabs>
          <w:tab w:val="left" w:pos="508"/>
        </w:tabs>
        <w:spacing w:line="241" w:lineRule="exact"/>
        <w:rPr>
          <w:rFonts w:asciiTheme="minorHAnsi" w:hAnsiTheme="minorHAnsi" w:cstheme="minorHAnsi"/>
          <w:color w:val="000000"/>
          <w:sz w:val="22"/>
        </w:rPr>
      </w:pPr>
      <w:r w:rsidRPr="00431932">
        <w:rPr>
          <w:rFonts w:asciiTheme="minorHAnsi" w:hAnsiTheme="minorHAnsi" w:cstheme="minorHAnsi"/>
          <w:color w:val="000000"/>
          <w:sz w:val="22"/>
        </w:rPr>
        <w:t xml:space="preserve">Najavits, L. M. (in press). </w:t>
      </w:r>
      <w:r w:rsidRPr="00431932">
        <w:rPr>
          <w:rFonts w:asciiTheme="minorHAnsi" w:hAnsiTheme="minorHAnsi" w:cstheme="minorHAnsi"/>
          <w:i/>
          <w:iCs/>
          <w:color w:val="000000"/>
          <w:sz w:val="22"/>
        </w:rPr>
        <w:t>Creating Change:</w:t>
      </w:r>
      <w:r w:rsidRPr="00431932">
        <w:rPr>
          <w:rFonts w:asciiTheme="minorHAnsi" w:hAnsiTheme="minorHAnsi" w:cstheme="minorHAnsi"/>
          <w:i/>
          <w:iCs/>
          <w:color w:val="000000"/>
          <w:spacing w:val="56"/>
          <w:sz w:val="22"/>
        </w:rPr>
        <w:t xml:space="preserve"> </w:t>
      </w:r>
      <w:r w:rsidRPr="00431932">
        <w:rPr>
          <w:rFonts w:asciiTheme="minorHAnsi" w:hAnsiTheme="minorHAnsi" w:cstheme="minorHAnsi"/>
          <w:i/>
          <w:iCs/>
          <w:color w:val="000000"/>
          <w:sz w:val="22"/>
        </w:rPr>
        <w:t>A Past-Focused Treatment</w:t>
      </w:r>
      <w:r w:rsidRPr="00431932">
        <w:rPr>
          <w:rFonts w:asciiTheme="minorHAnsi" w:hAnsiTheme="minorHAnsi" w:cstheme="minorHAnsi"/>
          <w:i/>
          <w:iCs/>
          <w:color w:val="000000"/>
          <w:spacing w:val="-2"/>
          <w:sz w:val="22"/>
        </w:rPr>
        <w:t xml:space="preserve"> </w:t>
      </w:r>
      <w:r w:rsidRPr="00431932">
        <w:rPr>
          <w:rFonts w:asciiTheme="minorHAnsi" w:hAnsiTheme="minorHAnsi" w:cstheme="minorHAnsi"/>
          <w:i/>
          <w:iCs/>
          <w:color w:val="000000"/>
          <w:sz w:val="22"/>
        </w:rPr>
        <w:t>for</w:t>
      </w:r>
      <w:r w:rsidRPr="00431932">
        <w:rPr>
          <w:rFonts w:asciiTheme="minorHAnsi" w:hAnsiTheme="minorHAnsi" w:cstheme="minorHAnsi"/>
          <w:i/>
          <w:iCs/>
          <w:color w:val="000000"/>
          <w:spacing w:val="-1"/>
          <w:sz w:val="22"/>
        </w:rPr>
        <w:t xml:space="preserve"> Trauma a</w:t>
      </w:r>
      <w:r w:rsidRPr="00431932">
        <w:rPr>
          <w:rFonts w:asciiTheme="minorHAnsi" w:hAnsiTheme="minorHAnsi" w:cstheme="minorHAnsi"/>
          <w:i/>
          <w:iCs/>
          <w:color w:val="000000"/>
          <w:sz w:val="22"/>
        </w:rPr>
        <w:t>nd Addiction</w:t>
      </w:r>
      <w:r w:rsidRPr="00431932">
        <w:rPr>
          <w:rFonts w:asciiTheme="minorHAnsi" w:hAnsiTheme="minorHAnsi" w:cstheme="minorHAnsi"/>
          <w:color w:val="000000"/>
          <w:sz w:val="22"/>
        </w:rPr>
        <w:t>.</w:t>
      </w:r>
      <w:r w:rsidRPr="00431932">
        <w:rPr>
          <w:rFonts w:asciiTheme="minorHAnsi" w:hAnsiTheme="minorHAnsi" w:cstheme="minorHAnsi"/>
          <w:color w:val="000000"/>
          <w:spacing w:val="-2"/>
          <w:sz w:val="22"/>
        </w:rPr>
        <w:t xml:space="preserve"> </w:t>
      </w:r>
      <w:r w:rsidRPr="00431932">
        <w:rPr>
          <w:rFonts w:asciiTheme="minorHAnsi" w:hAnsiTheme="minorHAnsi" w:cstheme="minorHAnsi"/>
          <w:color w:val="000000"/>
          <w:sz w:val="22"/>
        </w:rPr>
        <w:t>New</w:t>
      </w:r>
      <w:r w:rsidRPr="00431932">
        <w:rPr>
          <w:rFonts w:asciiTheme="minorHAnsi" w:hAnsiTheme="minorHAnsi" w:cstheme="minorHAnsi"/>
          <w:color w:val="000000"/>
          <w:spacing w:val="-2"/>
          <w:sz w:val="22"/>
        </w:rPr>
        <w:t xml:space="preserve"> </w:t>
      </w:r>
      <w:r w:rsidRPr="00431932">
        <w:rPr>
          <w:rFonts w:asciiTheme="minorHAnsi" w:hAnsiTheme="minorHAnsi" w:cstheme="minorHAnsi"/>
          <w:color w:val="000000"/>
          <w:sz w:val="22"/>
        </w:rPr>
        <w:t>York:</w:t>
      </w:r>
      <w:r w:rsidRPr="00431932">
        <w:rPr>
          <w:rFonts w:asciiTheme="minorHAnsi" w:hAnsiTheme="minorHAnsi" w:cstheme="minorHAnsi"/>
          <w:color w:val="000000"/>
          <w:spacing w:val="-3"/>
          <w:sz w:val="22"/>
        </w:rPr>
        <w:t xml:space="preserve"> </w:t>
      </w:r>
      <w:r w:rsidRPr="00431932">
        <w:rPr>
          <w:rFonts w:asciiTheme="minorHAnsi" w:hAnsiTheme="minorHAnsi" w:cstheme="minorHAnsi"/>
          <w:color w:val="000000"/>
          <w:sz w:val="22"/>
        </w:rPr>
        <w:t>Guilford.</w:t>
      </w:r>
    </w:p>
    <w:p w14:paraId="1F54C64F" w14:textId="77777777" w:rsidR="005D2635" w:rsidRPr="00431932" w:rsidRDefault="005D2635" w:rsidP="005D2635">
      <w:pPr>
        <w:tabs>
          <w:tab w:val="left" w:pos="508"/>
        </w:tabs>
        <w:spacing w:line="241" w:lineRule="exact"/>
        <w:rPr>
          <w:rFonts w:asciiTheme="minorHAnsi" w:hAnsiTheme="minorHAnsi" w:cstheme="minorHAnsi"/>
          <w:color w:val="000000"/>
          <w:sz w:val="22"/>
        </w:rPr>
      </w:pPr>
    </w:p>
    <w:p w14:paraId="124895B3" w14:textId="77777777" w:rsidR="005D2635" w:rsidRPr="00431932" w:rsidRDefault="005D2635" w:rsidP="005D2635">
      <w:pPr>
        <w:adjustRightInd w:val="0"/>
        <w:contextualSpacing/>
        <w:rPr>
          <w:rFonts w:asciiTheme="minorHAnsi" w:hAnsiTheme="minorHAnsi" w:cstheme="minorHAnsi"/>
          <w:color w:val="000000"/>
          <w:sz w:val="22"/>
        </w:rPr>
      </w:pPr>
      <w:r w:rsidRPr="00431932">
        <w:rPr>
          <w:rFonts w:asciiTheme="minorHAnsi" w:hAnsiTheme="minorHAnsi" w:cstheme="minorHAnsi"/>
          <w:color w:val="000000"/>
          <w:sz w:val="22"/>
        </w:rPr>
        <w:t xml:space="preserve">Sherman, A. D. F., Balthazar, M., Zhang, W., Febres-Cordero, S., Clark, K. D., Klepper, M., Coleman, M., &amp; Kelly, U. (2023). Seeking Safety intervention for comorbid post-traumatic stress and substance use disorder: A meta-analysis. </w:t>
      </w:r>
      <w:r w:rsidRPr="00431932">
        <w:rPr>
          <w:rFonts w:asciiTheme="minorHAnsi" w:hAnsiTheme="minorHAnsi" w:cstheme="minorHAnsi"/>
          <w:i/>
          <w:iCs/>
          <w:color w:val="000000"/>
          <w:sz w:val="22"/>
        </w:rPr>
        <w:t>Brain and Behavior</w:t>
      </w:r>
      <w:r w:rsidRPr="00431932">
        <w:rPr>
          <w:rFonts w:asciiTheme="minorHAnsi" w:hAnsiTheme="minorHAnsi" w:cstheme="minorHAnsi"/>
          <w:color w:val="000000"/>
          <w:sz w:val="22"/>
        </w:rPr>
        <w:t xml:space="preserve">, e2999. </w:t>
      </w:r>
    </w:p>
    <w:p w14:paraId="05A3B512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</w:p>
    <w:p w14:paraId="74661A20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>Substance Abuse Mental Health Services Administration (SAMHSA) (2014). Trauma Informed Care in Behavioral Health</w:t>
      </w:r>
    </w:p>
    <w:p w14:paraId="0C052C5F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sz w:val="22"/>
        </w:rPr>
        <w:t xml:space="preserve">Services </w:t>
      </w:r>
      <w:r w:rsidRPr="00431932">
        <w:rPr>
          <w:rFonts w:asciiTheme="minorHAnsi" w:hAnsiTheme="minorHAnsi" w:cstheme="minorHAnsi"/>
          <w:i/>
          <w:iCs/>
          <w:sz w:val="22"/>
        </w:rPr>
        <w:t>Treatment Improvement Protocol (TIP) Series</w:t>
      </w:r>
      <w:r w:rsidRPr="00431932">
        <w:rPr>
          <w:rFonts w:asciiTheme="minorHAnsi" w:hAnsiTheme="minorHAnsi" w:cstheme="minorHAnsi"/>
          <w:sz w:val="22"/>
        </w:rPr>
        <w:t xml:space="preserve">. Washington, DC: Department of Health and Human Services. </w:t>
      </w:r>
    </w:p>
    <w:p w14:paraId="3D83FDF9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</w:p>
    <w:p w14:paraId="0BB2FB8C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r w:rsidRPr="00431932">
        <w:rPr>
          <w:rFonts w:asciiTheme="minorHAnsi" w:hAnsiTheme="minorHAnsi" w:cstheme="minorHAnsi"/>
          <w:color w:val="222222"/>
          <w:sz w:val="22"/>
          <w:shd w:val="clear" w:color="auto" w:fill="FFFFFF"/>
        </w:rPr>
        <w:t>van der Kolk, B. A. (2015). </w:t>
      </w:r>
      <w:r w:rsidRPr="00431932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>The body keeps the score: Brain, Mind, and Body in the healing of trauma</w:t>
      </w:r>
      <w:r w:rsidRPr="00431932">
        <w:rPr>
          <w:rFonts w:asciiTheme="minorHAnsi" w:hAnsiTheme="minorHAnsi" w:cstheme="minorHAnsi"/>
          <w:color w:val="222222"/>
          <w:sz w:val="22"/>
          <w:shd w:val="clear" w:color="auto" w:fill="FFFFFF"/>
        </w:rPr>
        <w:t>.</w:t>
      </w:r>
    </w:p>
    <w:p w14:paraId="6C68E546" w14:textId="77777777" w:rsidR="005D2635" w:rsidRPr="00431932" w:rsidRDefault="005D2635" w:rsidP="005D263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</w:rPr>
      </w:pPr>
      <w:r w:rsidRPr="00431932">
        <w:rPr>
          <w:rFonts w:asciiTheme="minorHAnsi" w:hAnsiTheme="minorHAnsi" w:cstheme="minorHAnsi"/>
          <w:color w:val="222222"/>
          <w:sz w:val="22"/>
          <w:shd w:val="clear" w:color="auto" w:fill="FFFFFF"/>
        </w:rPr>
        <w:t>Penguin Books.</w:t>
      </w:r>
    </w:p>
    <w:p w14:paraId="70C040B2" w14:textId="77777777" w:rsidR="000336F3" w:rsidRPr="005E4649" w:rsidRDefault="000336F3" w:rsidP="00C91EFF">
      <w:pPr>
        <w:ind w:left="360"/>
        <w:rPr>
          <w:rFonts w:asciiTheme="minorHAnsi" w:hAnsiTheme="minorHAnsi" w:cstheme="minorHAnsi"/>
          <w:sz w:val="22"/>
        </w:rPr>
      </w:pPr>
    </w:p>
    <w:p w14:paraId="1A7EEA8C" w14:textId="77777777" w:rsidR="000336F3" w:rsidRPr="005E4649" w:rsidRDefault="00C91EFF" w:rsidP="00C91EFF">
      <w:pPr>
        <w:pStyle w:val="Blockquote"/>
        <w:spacing w:before="0"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5E4649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14:paraId="11F8B655" w14:textId="77777777" w:rsidR="009B4C2E" w:rsidRPr="005E4649" w:rsidRDefault="009B4C2E" w:rsidP="00C91EFF">
      <w:pPr>
        <w:rPr>
          <w:rFonts w:asciiTheme="minorHAnsi" w:hAnsiTheme="minorHAnsi" w:cstheme="minorHAnsi"/>
          <w:sz w:val="22"/>
        </w:rPr>
      </w:pPr>
    </w:p>
    <w:p w14:paraId="0D779A92" w14:textId="77777777" w:rsidR="009B4C2E" w:rsidRPr="005E4649" w:rsidRDefault="009B4C2E" w:rsidP="00C91EFF">
      <w:p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sz w:val="22"/>
        </w:rPr>
        <w:t>Treatment Innovations</w:t>
      </w:r>
    </w:p>
    <w:p w14:paraId="407195A7" w14:textId="77777777" w:rsidR="009B4C2E" w:rsidRPr="005E4649" w:rsidRDefault="009B4C2E" w:rsidP="00C91EFF">
      <w:p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sz w:val="22"/>
        </w:rPr>
        <w:t>28 Westbourne Rd.</w:t>
      </w:r>
    </w:p>
    <w:p w14:paraId="6086ED80" w14:textId="77777777" w:rsidR="009B4C2E" w:rsidRPr="005E4649" w:rsidRDefault="009B4C2E" w:rsidP="00C91EFF">
      <w:p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sz w:val="22"/>
        </w:rPr>
        <w:t xml:space="preserve">Newton Centre, MA 02459 </w:t>
      </w:r>
    </w:p>
    <w:p w14:paraId="33522C6E" w14:textId="77777777" w:rsidR="00A77B58" w:rsidRPr="005E4649" w:rsidRDefault="000336F3" w:rsidP="00A77B58">
      <w:p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sz w:val="22"/>
        </w:rPr>
        <w:t>617-</w:t>
      </w:r>
      <w:r w:rsidR="009B4C2E" w:rsidRPr="005E4649">
        <w:rPr>
          <w:rFonts w:asciiTheme="minorHAnsi" w:hAnsiTheme="minorHAnsi" w:cstheme="minorHAnsi"/>
          <w:sz w:val="22"/>
        </w:rPr>
        <w:t>299</w:t>
      </w:r>
      <w:r w:rsidRPr="005E4649">
        <w:rPr>
          <w:rFonts w:asciiTheme="minorHAnsi" w:hAnsiTheme="minorHAnsi" w:cstheme="minorHAnsi"/>
          <w:sz w:val="22"/>
        </w:rPr>
        <w:t>-</w:t>
      </w:r>
      <w:r w:rsidR="009B4C2E" w:rsidRPr="005E4649">
        <w:rPr>
          <w:rFonts w:asciiTheme="minorHAnsi" w:hAnsiTheme="minorHAnsi" w:cstheme="minorHAnsi"/>
          <w:sz w:val="22"/>
        </w:rPr>
        <w:t>1610</w:t>
      </w:r>
      <w:r w:rsidRPr="005E4649">
        <w:rPr>
          <w:rFonts w:asciiTheme="minorHAnsi" w:hAnsiTheme="minorHAnsi" w:cstheme="minorHAnsi"/>
          <w:sz w:val="22"/>
        </w:rPr>
        <w:t xml:space="preserve"> [phone]</w:t>
      </w:r>
    </w:p>
    <w:p w14:paraId="727F4522" w14:textId="77777777" w:rsidR="009B4C2E" w:rsidRPr="005E4649" w:rsidRDefault="000336F3" w:rsidP="00C91EFF">
      <w:pPr>
        <w:rPr>
          <w:rFonts w:asciiTheme="minorHAnsi" w:hAnsiTheme="minorHAnsi" w:cstheme="minorHAnsi"/>
          <w:sz w:val="22"/>
        </w:rPr>
      </w:pPr>
      <w:r w:rsidRPr="005E4649">
        <w:rPr>
          <w:rFonts w:asciiTheme="minorHAnsi" w:hAnsiTheme="minorHAnsi" w:cstheme="minorHAnsi"/>
          <w:sz w:val="22"/>
        </w:rPr>
        <w:t>info@</w:t>
      </w:r>
      <w:r w:rsidR="00A77B58" w:rsidRPr="005E4649">
        <w:rPr>
          <w:rFonts w:asciiTheme="minorHAnsi" w:hAnsiTheme="minorHAnsi" w:cstheme="minorHAnsi"/>
          <w:sz w:val="22"/>
        </w:rPr>
        <w:t>seekingsafety</w:t>
      </w:r>
      <w:r w:rsidR="009B4C2E" w:rsidRPr="005E4649">
        <w:rPr>
          <w:rFonts w:asciiTheme="minorHAnsi" w:hAnsiTheme="minorHAnsi" w:cstheme="minorHAnsi"/>
          <w:sz w:val="22"/>
        </w:rPr>
        <w:t xml:space="preserve">.org </w:t>
      </w:r>
      <w:r w:rsidR="00A77B58" w:rsidRPr="005E4649">
        <w:rPr>
          <w:rFonts w:asciiTheme="minorHAnsi" w:hAnsiTheme="minorHAnsi" w:cstheme="minorHAnsi"/>
          <w:sz w:val="22"/>
        </w:rPr>
        <w:t>[email]</w:t>
      </w:r>
    </w:p>
    <w:p w14:paraId="178C2D01" w14:textId="77777777" w:rsidR="00A77B58" w:rsidRPr="005E4649" w:rsidRDefault="00000000" w:rsidP="00A77B58">
      <w:pPr>
        <w:rPr>
          <w:rFonts w:asciiTheme="minorHAnsi" w:hAnsiTheme="minorHAnsi" w:cstheme="minorHAnsi"/>
          <w:sz w:val="22"/>
        </w:rPr>
      </w:pPr>
      <w:hyperlink r:id="rId8" w:history="1">
        <w:r w:rsidR="00A77B58" w:rsidRPr="005E4649">
          <w:rPr>
            <w:rStyle w:val="Hyperlink"/>
            <w:rFonts w:asciiTheme="minorHAnsi" w:hAnsiTheme="minorHAnsi" w:cstheme="minorHAnsi"/>
            <w:sz w:val="22"/>
          </w:rPr>
          <w:t>www.seekingsafety.org</w:t>
        </w:r>
      </w:hyperlink>
      <w:r w:rsidR="00A77B58" w:rsidRPr="005E4649">
        <w:rPr>
          <w:rFonts w:asciiTheme="minorHAnsi" w:hAnsiTheme="minorHAnsi" w:cstheme="minorHAnsi"/>
          <w:sz w:val="22"/>
        </w:rPr>
        <w:t xml:space="preserve"> [web]</w:t>
      </w:r>
    </w:p>
    <w:p w14:paraId="77A73861" w14:textId="77777777" w:rsidR="00A77B58" w:rsidRPr="005E4649" w:rsidRDefault="00000000" w:rsidP="00A77B58">
      <w:pPr>
        <w:rPr>
          <w:rFonts w:asciiTheme="minorHAnsi" w:hAnsiTheme="minorHAnsi" w:cstheme="minorHAnsi"/>
          <w:sz w:val="22"/>
        </w:rPr>
      </w:pPr>
      <w:hyperlink r:id="rId9" w:history="1">
        <w:r w:rsidR="00A77B58" w:rsidRPr="005E4649">
          <w:rPr>
            <w:rStyle w:val="Hyperlink"/>
            <w:rFonts w:asciiTheme="minorHAnsi" w:hAnsiTheme="minorHAnsi" w:cstheme="minorHAnsi"/>
            <w:sz w:val="22"/>
          </w:rPr>
          <w:t>www.treatment-innovations.org</w:t>
        </w:r>
      </w:hyperlink>
      <w:r w:rsidR="00A77B58" w:rsidRPr="005E4649">
        <w:rPr>
          <w:rFonts w:asciiTheme="minorHAnsi" w:hAnsiTheme="minorHAnsi" w:cstheme="minorHAnsi"/>
          <w:sz w:val="22"/>
        </w:rPr>
        <w:t xml:space="preserve"> [web]</w:t>
      </w:r>
    </w:p>
    <w:p w14:paraId="652AEA35" w14:textId="77777777" w:rsidR="00A77B58" w:rsidRPr="005E4649" w:rsidRDefault="00A77B58" w:rsidP="00A77B58">
      <w:pPr>
        <w:rPr>
          <w:rFonts w:asciiTheme="minorHAnsi" w:hAnsiTheme="minorHAnsi" w:cstheme="minorHAnsi"/>
          <w:sz w:val="22"/>
        </w:rPr>
      </w:pPr>
    </w:p>
    <w:sectPr w:rsidR="00A77B58" w:rsidRPr="005E4649" w:rsidSect="001C1A14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A1DC" w14:textId="77777777" w:rsidR="00A40D4A" w:rsidRDefault="00A40D4A">
      <w:r>
        <w:separator/>
      </w:r>
    </w:p>
  </w:endnote>
  <w:endnote w:type="continuationSeparator" w:id="0">
    <w:p w14:paraId="41BB33E9" w14:textId="77777777" w:rsidR="00A40D4A" w:rsidRDefault="00A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82FA" w14:textId="77777777" w:rsidR="00A40D4A" w:rsidRDefault="00A40D4A">
      <w:r>
        <w:separator/>
      </w:r>
    </w:p>
  </w:footnote>
  <w:footnote w:type="continuationSeparator" w:id="0">
    <w:p w14:paraId="4BD1FE6B" w14:textId="77777777" w:rsidR="00A40D4A" w:rsidRDefault="00A40D4A">
      <w:r>
        <w:continuationSeparator/>
      </w:r>
    </w:p>
  </w:footnote>
  <w:footnote w:id="1">
    <w:p w14:paraId="22FFE102" w14:textId="3871F3B1" w:rsidR="009B4C2E" w:rsidRPr="005E4649" w:rsidRDefault="009B4C2E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C91EFF">
        <w:rPr>
          <w:rStyle w:val="FootnoteReference"/>
          <w:sz w:val="22"/>
          <w:szCs w:val="22"/>
        </w:rPr>
        <w:footnoteRef/>
      </w:r>
      <w:r w:rsidRPr="00C91EFF">
        <w:rPr>
          <w:sz w:val="22"/>
          <w:szCs w:val="22"/>
        </w:rPr>
        <w:t xml:space="preserve"> </w:t>
      </w:r>
      <w:r w:rsidRPr="005E4649">
        <w:rPr>
          <w:rFonts w:asciiTheme="minorHAnsi" w:hAnsiTheme="minorHAnsi" w:cstheme="minorHAnsi"/>
          <w:sz w:val="22"/>
          <w:szCs w:val="22"/>
        </w:rPr>
        <w:t>For description of a short program, see www.</w:t>
      </w:r>
      <w:r w:rsidR="00A77B58" w:rsidRPr="005E4649">
        <w:rPr>
          <w:rFonts w:asciiTheme="minorHAnsi" w:hAnsiTheme="minorHAnsi" w:cstheme="minorHAnsi"/>
          <w:sz w:val="22"/>
          <w:szCs w:val="22"/>
        </w:rPr>
        <w:t>seekingsafety</w:t>
      </w:r>
      <w:r w:rsidRPr="005E4649">
        <w:rPr>
          <w:rFonts w:asciiTheme="minorHAnsi" w:hAnsiTheme="minorHAnsi" w:cstheme="minorHAnsi"/>
          <w:sz w:val="22"/>
          <w:szCs w:val="22"/>
        </w:rPr>
        <w:t xml:space="preserve">.org, Training / </w:t>
      </w:r>
      <w:r w:rsidR="00A77B58" w:rsidRPr="005E4649">
        <w:rPr>
          <w:rFonts w:asciiTheme="minorHAnsi" w:hAnsiTheme="minorHAnsi" w:cstheme="minorHAnsi"/>
          <w:sz w:val="22"/>
          <w:szCs w:val="22"/>
        </w:rPr>
        <w:t>Topics</w:t>
      </w:r>
      <w:r w:rsidRPr="005E4649">
        <w:rPr>
          <w:rFonts w:asciiTheme="minorHAnsi" w:hAnsiTheme="minorHAnsi" w:cstheme="minorHAnsi"/>
          <w:sz w:val="22"/>
          <w:szCs w:val="22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27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2E953F5"/>
    <w:multiLevelType w:val="hybridMultilevel"/>
    <w:tmpl w:val="117AE9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AF4EC5"/>
    <w:multiLevelType w:val="hybridMultilevel"/>
    <w:tmpl w:val="23AE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758998">
    <w:abstractNumId w:val="1"/>
  </w:num>
  <w:num w:numId="2" w16cid:durableId="1063261065">
    <w:abstractNumId w:val="0"/>
  </w:num>
  <w:num w:numId="3" w16cid:durableId="61074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72"/>
    <w:rsid w:val="000336F3"/>
    <w:rsid w:val="000D6A27"/>
    <w:rsid w:val="001C1A14"/>
    <w:rsid w:val="001D4527"/>
    <w:rsid w:val="00210657"/>
    <w:rsid w:val="002967D0"/>
    <w:rsid w:val="00374636"/>
    <w:rsid w:val="00452FDC"/>
    <w:rsid w:val="0046608F"/>
    <w:rsid w:val="005D2635"/>
    <w:rsid w:val="005E4649"/>
    <w:rsid w:val="00625153"/>
    <w:rsid w:val="0070307F"/>
    <w:rsid w:val="00843A09"/>
    <w:rsid w:val="008C069D"/>
    <w:rsid w:val="009B4C2E"/>
    <w:rsid w:val="009F589B"/>
    <w:rsid w:val="00A35572"/>
    <w:rsid w:val="00A40D4A"/>
    <w:rsid w:val="00A618ED"/>
    <w:rsid w:val="00A77B58"/>
    <w:rsid w:val="00B91C2A"/>
    <w:rsid w:val="00BD1E52"/>
    <w:rsid w:val="00C91EFF"/>
    <w:rsid w:val="00CD6055"/>
    <w:rsid w:val="00CF106F"/>
    <w:rsid w:val="00EB6077"/>
    <w:rsid w:val="00F41FFB"/>
    <w:rsid w:val="00F57206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E8B6B"/>
  <w15:chartTrackingRefBased/>
  <w15:docId w15:val="{79C4A430-2A7C-4C0C-AD33-FCB488C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77B58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A77B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kingsaf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ekingsaf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atment-innov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9-04</vt:lpstr>
    </vt:vector>
  </TitlesOfParts>
  <Company>McLEan Hospital</Company>
  <LinksUpToDate>false</LinksUpToDate>
  <CharactersWithSpaces>5271</CharactersWithSpaces>
  <SharedDoc>false</SharedDoc>
  <HLinks>
    <vt:vector size="12" baseType="variant"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http://www.treatment-innovations.org/</vt:lpwstr>
      </vt:variant>
      <vt:variant>
        <vt:lpwstr/>
      </vt:variant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http://www.seekingsafety.org/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9-04</dc:title>
  <dc:subject/>
  <dc:creator>Lisa Najavits</dc:creator>
  <cp:keywords/>
  <dc:description/>
  <cp:lastModifiedBy>TI</cp:lastModifiedBy>
  <cp:revision>10</cp:revision>
  <dcterms:created xsi:type="dcterms:W3CDTF">2023-12-27T01:48:00Z</dcterms:created>
  <dcterms:modified xsi:type="dcterms:W3CDTF">2023-12-27T03:26:00Z</dcterms:modified>
</cp:coreProperties>
</file>