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8" w:rsidRPr="002E44A5" w:rsidRDefault="00FA1128">
      <w:pPr>
        <w:jc w:val="center"/>
        <w:rPr>
          <w:rFonts w:cs="Arial"/>
          <w:sz w:val="22"/>
          <w:szCs w:val="22"/>
          <w:u w:val="single"/>
        </w:rPr>
      </w:pPr>
      <w:r w:rsidRPr="002E44A5">
        <w:rPr>
          <w:rFonts w:cs="Arial"/>
          <w:sz w:val="22"/>
          <w:szCs w:val="22"/>
          <w:u w:val="single"/>
        </w:rPr>
        <w:t xml:space="preserve">Outline and objectives for </w:t>
      </w:r>
      <w:r w:rsidRPr="002E44A5">
        <w:rPr>
          <w:rFonts w:cs="Arial"/>
          <w:i/>
          <w:iCs/>
          <w:sz w:val="22"/>
          <w:szCs w:val="22"/>
          <w:u w:val="single"/>
        </w:rPr>
        <w:t>short program</w:t>
      </w:r>
      <w:r w:rsidRPr="002E44A5">
        <w:rPr>
          <w:rFonts w:cs="Arial"/>
          <w:sz w:val="22"/>
          <w:szCs w:val="22"/>
          <w:u w:val="single"/>
        </w:rPr>
        <w:t xml:space="preserve"> (e.g., plenary, or panel as part of a conference)</w:t>
      </w:r>
    </w:p>
    <w:p w:rsidR="00FA1128" w:rsidRPr="002E44A5" w:rsidRDefault="00FA1128">
      <w:pPr>
        <w:rPr>
          <w:rFonts w:cs="Arial"/>
          <w:sz w:val="22"/>
          <w:szCs w:val="22"/>
        </w:rPr>
      </w:pPr>
    </w:p>
    <w:p w:rsidR="00FA1128" w:rsidRPr="002E44A5" w:rsidRDefault="00FA1128">
      <w:pPr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Lisa M. Najavits, PhD</w:t>
      </w:r>
    </w:p>
    <w:p w:rsidR="00FA1128" w:rsidRPr="002E44A5" w:rsidRDefault="00FA1128">
      <w:pPr>
        <w:rPr>
          <w:rFonts w:cs="Arial"/>
          <w:sz w:val="22"/>
          <w:szCs w:val="22"/>
        </w:rPr>
      </w:pPr>
    </w:p>
    <w:p w:rsidR="00FA1128" w:rsidRPr="002E44A5" w:rsidRDefault="00FA1128">
      <w:pPr>
        <w:rPr>
          <w:rFonts w:cs="Arial"/>
          <w:b/>
          <w:bCs/>
          <w:sz w:val="22"/>
          <w:szCs w:val="22"/>
        </w:rPr>
      </w:pPr>
      <w:r w:rsidRPr="002E44A5">
        <w:rPr>
          <w:rFonts w:cs="Arial"/>
          <w:b/>
          <w:bCs/>
          <w:sz w:val="22"/>
          <w:szCs w:val="22"/>
        </w:rPr>
        <w:t xml:space="preserve">Possible titles (choose one):  </w:t>
      </w:r>
    </w:p>
    <w:p w:rsidR="00E96CE6" w:rsidRDefault="00E96CE6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Seeking Safety: An evidence-based model for trauma and/or substance abuse</w:t>
      </w:r>
    </w:p>
    <w:p w:rsidR="00FA1128" w:rsidRPr="002E44A5" w:rsidRDefault="00E96CE6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link b</w:t>
      </w:r>
      <w:r w:rsidR="00FA1128" w:rsidRPr="002E44A5">
        <w:rPr>
          <w:rFonts w:cs="Arial"/>
          <w:sz w:val="22"/>
          <w:szCs w:val="22"/>
        </w:rPr>
        <w:t xml:space="preserve">etween </w:t>
      </w:r>
      <w:r>
        <w:rPr>
          <w:rFonts w:cs="Arial"/>
          <w:sz w:val="22"/>
          <w:szCs w:val="22"/>
        </w:rPr>
        <w:t>t</w:t>
      </w:r>
      <w:r w:rsidR="002E44A5" w:rsidRPr="002E44A5">
        <w:rPr>
          <w:rFonts w:cs="Arial"/>
          <w:sz w:val="22"/>
          <w:szCs w:val="22"/>
        </w:rPr>
        <w:t>rauma</w:t>
      </w:r>
      <w:r w:rsidR="00FA1128" w:rsidRPr="002E44A5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substance a</w:t>
      </w:r>
      <w:r w:rsidR="00FA1128" w:rsidRPr="002E44A5">
        <w:rPr>
          <w:rFonts w:cs="Arial"/>
          <w:sz w:val="22"/>
          <w:szCs w:val="22"/>
        </w:rPr>
        <w:t>buse</w:t>
      </w:r>
    </w:p>
    <w:p w:rsidR="00FA1128" w:rsidRPr="002E44A5" w:rsidRDefault="00FA1128">
      <w:pPr>
        <w:ind w:firstLine="72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Numbing the </w:t>
      </w:r>
      <w:r w:rsidR="00E96CE6">
        <w:rPr>
          <w:rFonts w:cs="Arial"/>
          <w:sz w:val="22"/>
          <w:szCs w:val="22"/>
        </w:rPr>
        <w:t>p</w:t>
      </w:r>
      <w:r w:rsidRPr="002E44A5">
        <w:rPr>
          <w:rFonts w:cs="Arial"/>
          <w:sz w:val="22"/>
          <w:szCs w:val="22"/>
        </w:rPr>
        <w:t xml:space="preserve">ain: </w:t>
      </w:r>
      <w:r w:rsidR="002E44A5" w:rsidRPr="002E44A5">
        <w:rPr>
          <w:rFonts w:cs="Arial"/>
          <w:sz w:val="22"/>
          <w:szCs w:val="22"/>
        </w:rPr>
        <w:t>Trauma</w:t>
      </w:r>
      <w:r w:rsidR="00E96CE6">
        <w:rPr>
          <w:rFonts w:cs="Arial"/>
          <w:sz w:val="22"/>
          <w:szCs w:val="22"/>
        </w:rPr>
        <w:t xml:space="preserve"> and substance a</w:t>
      </w:r>
      <w:r w:rsidRPr="002E44A5">
        <w:rPr>
          <w:rFonts w:cs="Arial"/>
          <w:sz w:val="22"/>
          <w:szCs w:val="22"/>
        </w:rPr>
        <w:t>buse</w:t>
      </w:r>
    </w:p>
    <w:p w:rsidR="00FA1128" w:rsidRPr="002E44A5" w:rsidRDefault="00FA1128">
      <w:pPr>
        <w:rPr>
          <w:rFonts w:cs="Arial"/>
          <w:sz w:val="22"/>
          <w:szCs w:val="22"/>
        </w:rPr>
      </w:pPr>
    </w:p>
    <w:p w:rsidR="00FA1128" w:rsidRPr="002E44A5" w:rsidRDefault="00FA1128">
      <w:pPr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The goal of this presentation is to describe current state-of-the art knowledge about the treatment of patients with </w:t>
      </w:r>
      <w:r w:rsidR="002E44A5" w:rsidRPr="002E44A5">
        <w:rPr>
          <w:rFonts w:cs="Arial"/>
          <w:sz w:val="22"/>
          <w:szCs w:val="22"/>
        </w:rPr>
        <w:t xml:space="preserve">trauma </w:t>
      </w:r>
      <w:r w:rsidRPr="002E44A5">
        <w:rPr>
          <w:rFonts w:cs="Arial"/>
          <w:sz w:val="22"/>
          <w:szCs w:val="22"/>
        </w:rPr>
        <w:t xml:space="preserve">and substance abuse, a population that is typically considered </w:t>
      </w:r>
      <w:proofErr w:type="gramStart"/>
      <w:r w:rsidR="002E44A5" w:rsidRPr="002E44A5">
        <w:rPr>
          <w:rFonts w:cs="Arial"/>
          <w:sz w:val="22"/>
          <w:szCs w:val="22"/>
        </w:rPr>
        <w:t>complex</w:t>
      </w:r>
      <w:proofErr w:type="gramEnd"/>
      <w:r w:rsidR="002E44A5" w:rsidRPr="002E44A5">
        <w:rPr>
          <w:rFonts w:cs="Arial"/>
          <w:sz w:val="22"/>
          <w:szCs w:val="22"/>
        </w:rPr>
        <w:t>, with multiple life challenges</w:t>
      </w:r>
      <w:r w:rsidRPr="002E44A5">
        <w:rPr>
          <w:rFonts w:cs="Arial"/>
          <w:sz w:val="22"/>
          <w:szCs w:val="22"/>
        </w:rPr>
        <w:t xml:space="preserve">.  We will cover background on </w:t>
      </w:r>
      <w:r w:rsidR="002E44A5" w:rsidRPr="002E44A5">
        <w:rPr>
          <w:rFonts w:cs="Arial"/>
          <w:sz w:val="22"/>
          <w:szCs w:val="22"/>
        </w:rPr>
        <w:t>trauma</w:t>
      </w:r>
      <w:r w:rsidRPr="002E44A5">
        <w:rPr>
          <w:rFonts w:cs="Arial"/>
          <w:sz w:val="22"/>
          <w:szCs w:val="22"/>
        </w:rPr>
        <w:t xml:space="preserve"> and substance abuse (including rates, the typical client, models and stages of treatment, </w:t>
      </w:r>
      <w:r w:rsidR="002E44A5" w:rsidRPr="002E44A5">
        <w:rPr>
          <w:rFonts w:cs="Arial"/>
          <w:sz w:val="22"/>
          <w:szCs w:val="22"/>
        </w:rPr>
        <w:t xml:space="preserve">and </w:t>
      </w:r>
      <w:r w:rsidRPr="002E44A5">
        <w:rPr>
          <w:rFonts w:cs="Arial"/>
          <w:sz w:val="22"/>
          <w:szCs w:val="22"/>
        </w:rPr>
        <w:t>clin</w:t>
      </w:r>
      <w:r w:rsidR="002E44A5" w:rsidRPr="002E44A5">
        <w:rPr>
          <w:rFonts w:cs="Arial"/>
          <w:sz w:val="22"/>
          <w:szCs w:val="22"/>
        </w:rPr>
        <w:t>ical dilemmas</w:t>
      </w:r>
      <w:r w:rsidRPr="002E44A5">
        <w:rPr>
          <w:rFonts w:cs="Arial"/>
          <w:sz w:val="22"/>
          <w:szCs w:val="22"/>
        </w:rPr>
        <w:t xml:space="preserve">) and clinical Interventions for </w:t>
      </w:r>
      <w:r w:rsidR="002E44A5" w:rsidRPr="002E44A5">
        <w:rPr>
          <w:rFonts w:cs="Arial"/>
          <w:sz w:val="22"/>
          <w:szCs w:val="22"/>
        </w:rPr>
        <w:t>trauma</w:t>
      </w:r>
      <w:r w:rsidRPr="002E44A5">
        <w:rPr>
          <w:rFonts w:cs="Arial"/>
          <w:sz w:val="22"/>
          <w:szCs w:val="22"/>
        </w:rPr>
        <w:t xml:space="preserve"> and substance abuse</w:t>
      </w:r>
      <w:r w:rsidR="002E44A5" w:rsidRPr="002E44A5">
        <w:rPr>
          <w:rFonts w:cs="Arial"/>
          <w:sz w:val="22"/>
          <w:szCs w:val="22"/>
        </w:rPr>
        <w:t>, as well as resources for further learning. T</w:t>
      </w:r>
      <w:r w:rsidRPr="002E44A5">
        <w:rPr>
          <w:rFonts w:cs="Arial"/>
          <w:sz w:val="22"/>
          <w:szCs w:val="22"/>
        </w:rPr>
        <w:t xml:space="preserve">he </w:t>
      </w:r>
      <w:r w:rsidRPr="002E44A5">
        <w:rPr>
          <w:rFonts w:cs="Arial"/>
          <w:i/>
          <w:iCs/>
          <w:sz w:val="22"/>
          <w:szCs w:val="22"/>
        </w:rPr>
        <w:t>Seeking Safety</w:t>
      </w:r>
      <w:r w:rsidRPr="002E44A5">
        <w:rPr>
          <w:rFonts w:cs="Arial"/>
          <w:sz w:val="22"/>
          <w:szCs w:val="22"/>
        </w:rPr>
        <w:t xml:space="preserve"> </w:t>
      </w:r>
      <w:r w:rsidR="002E44A5" w:rsidRPr="002E44A5">
        <w:rPr>
          <w:rFonts w:cs="Arial"/>
          <w:sz w:val="22"/>
          <w:szCs w:val="22"/>
        </w:rPr>
        <w:t>model will be highlighted as it is the most evidence-based model for trauma</w:t>
      </w:r>
      <w:r w:rsidRPr="002E44A5">
        <w:rPr>
          <w:rFonts w:cs="Arial"/>
          <w:sz w:val="22"/>
          <w:szCs w:val="22"/>
        </w:rPr>
        <w:t xml:space="preserve"> and subst</w:t>
      </w:r>
      <w:r w:rsidR="002E44A5" w:rsidRPr="002E44A5">
        <w:rPr>
          <w:rFonts w:cs="Arial"/>
          <w:sz w:val="22"/>
          <w:szCs w:val="22"/>
        </w:rPr>
        <w:t>ance abuse</w:t>
      </w:r>
      <w:r w:rsidRPr="002E44A5">
        <w:rPr>
          <w:rFonts w:cs="Arial"/>
          <w:sz w:val="22"/>
          <w:szCs w:val="22"/>
        </w:rPr>
        <w:t xml:space="preserve">.  </w:t>
      </w:r>
    </w:p>
    <w:p w:rsidR="00FA1128" w:rsidRPr="002E44A5" w:rsidRDefault="00FA1128">
      <w:pPr>
        <w:rPr>
          <w:rFonts w:cs="Arial"/>
          <w:sz w:val="22"/>
          <w:szCs w:val="22"/>
        </w:rPr>
      </w:pPr>
    </w:p>
    <w:p w:rsidR="00FA1128" w:rsidRPr="002E44A5" w:rsidRDefault="00FA1128">
      <w:pPr>
        <w:rPr>
          <w:rFonts w:cs="Arial"/>
          <w:b/>
          <w:bCs/>
          <w:sz w:val="22"/>
          <w:szCs w:val="22"/>
        </w:rPr>
      </w:pPr>
      <w:r w:rsidRPr="002E44A5">
        <w:rPr>
          <w:rFonts w:cs="Arial"/>
          <w:b/>
          <w:bCs/>
          <w:sz w:val="22"/>
          <w:szCs w:val="22"/>
        </w:rPr>
        <w:t>Objectives:</w:t>
      </w:r>
    </w:p>
    <w:p w:rsidR="00FA1128" w:rsidRPr="002E44A5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To review scientific literature on rates and presentation of </w:t>
      </w:r>
      <w:r w:rsidR="002E44A5" w:rsidRPr="002E44A5">
        <w:rPr>
          <w:rFonts w:cs="Arial"/>
          <w:sz w:val="22"/>
          <w:szCs w:val="22"/>
        </w:rPr>
        <w:t>trauma</w:t>
      </w:r>
      <w:r w:rsidRPr="002E44A5">
        <w:rPr>
          <w:rFonts w:cs="Arial"/>
          <w:sz w:val="22"/>
          <w:szCs w:val="22"/>
        </w:rPr>
        <w:t>/substance abuse;</w:t>
      </w:r>
    </w:p>
    <w:p w:rsidR="00FA1128" w:rsidRPr="002E44A5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To increase empathy and understanding of </w:t>
      </w:r>
      <w:r w:rsidR="002E44A5" w:rsidRPr="002E44A5">
        <w:rPr>
          <w:rFonts w:cs="Arial"/>
          <w:sz w:val="22"/>
          <w:szCs w:val="22"/>
        </w:rPr>
        <w:t>trauma</w:t>
      </w:r>
      <w:r w:rsidRPr="002E44A5">
        <w:rPr>
          <w:rFonts w:cs="Arial"/>
          <w:sz w:val="22"/>
          <w:szCs w:val="22"/>
        </w:rPr>
        <w:t>/substance abuse;</w:t>
      </w:r>
    </w:p>
    <w:p w:rsidR="00FA1128" w:rsidRPr="002E44A5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To describe </w:t>
      </w:r>
      <w:r w:rsidR="00E96CE6">
        <w:rPr>
          <w:rFonts w:cs="Arial"/>
          <w:sz w:val="22"/>
          <w:szCs w:val="22"/>
        </w:rPr>
        <w:t>Seeking Safety counseling strategies</w:t>
      </w:r>
      <w:bookmarkStart w:id="0" w:name="_GoBack"/>
      <w:bookmarkEnd w:id="0"/>
      <w:r w:rsidRPr="002E44A5">
        <w:rPr>
          <w:rFonts w:cs="Arial"/>
          <w:sz w:val="22"/>
          <w:szCs w:val="22"/>
        </w:rPr>
        <w:t>;</w:t>
      </w:r>
    </w:p>
    <w:p w:rsidR="00FA1128" w:rsidRPr="002E44A5" w:rsidRDefault="00FA112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To provide assessment and treatment resources.</w:t>
      </w:r>
    </w:p>
    <w:p w:rsidR="00FA1128" w:rsidRPr="002E44A5" w:rsidRDefault="00FA1128">
      <w:pPr>
        <w:rPr>
          <w:rFonts w:cs="Arial"/>
          <w:sz w:val="22"/>
          <w:szCs w:val="22"/>
        </w:rPr>
      </w:pPr>
    </w:p>
    <w:p w:rsidR="00FA1128" w:rsidRPr="002E44A5" w:rsidRDefault="00FA1128">
      <w:pPr>
        <w:rPr>
          <w:rFonts w:cs="Arial"/>
          <w:b/>
          <w:bCs/>
          <w:sz w:val="22"/>
          <w:szCs w:val="22"/>
        </w:rPr>
      </w:pPr>
      <w:r w:rsidRPr="002E44A5">
        <w:rPr>
          <w:rFonts w:cs="Arial"/>
          <w:b/>
          <w:bCs/>
          <w:sz w:val="22"/>
          <w:szCs w:val="22"/>
        </w:rPr>
        <w:t>References:</w:t>
      </w:r>
    </w:p>
    <w:p w:rsidR="00FA1128" w:rsidRPr="002E44A5" w:rsidRDefault="00FA1128">
      <w:pPr>
        <w:rPr>
          <w:rFonts w:cs="Arial"/>
          <w:sz w:val="22"/>
          <w:szCs w:val="22"/>
        </w:rPr>
      </w:pP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Herman JL. Trauma and Recovery.  New York, Basic Books, 1992.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>Najavits, L. M., &amp; Hien, D. A. (2013). Helping vulnerable populations: A compre</w:t>
      </w:r>
      <w:r>
        <w:rPr>
          <w:rFonts w:cs="Arial"/>
          <w:color w:val="auto"/>
          <w:sz w:val="22"/>
          <w:szCs w:val="22"/>
        </w:rPr>
        <w:t>hensive review</w:t>
      </w: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proofErr w:type="gramStart"/>
      <w:r>
        <w:rPr>
          <w:rFonts w:cs="Arial"/>
          <w:color w:val="auto"/>
          <w:sz w:val="22"/>
          <w:szCs w:val="22"/>
        </w:rPr>
        <w:t>of</w:t>
      </w:r>
      <w:proofErr w:type="gramEnd"/>
      <w:r>
        <w:rPr>
          <w:rFonts w:cs="Arial"/>
          <w:color w:val="auto"/>
          <w:sz w:val="22"/>
          <w:szCs w:val="22"/>
        </w:rPr>
        <w:t xml:space="preserve"> the treatment </w:t>
      </w:r>
      <w:r w:rsidRPr="002E44A5">
        <w:rPr>
          <w:rFonts w:cs="Arial"/>
          <w:color w:val="auto"/>
          <w:sz w:val="22"/>
          <w:szCs w:val="22"/>
        </w:rPr>
        <w:t xml:space="preserve">outcome literature on substance use disorder and PTSD </w:t>
      </w:r>
      <w:r>
        <w:rPr>
          <w:rFonts w:cs="Arial"/>
          <w:i/>
          <w:iCs/>
          <w:color w:val="auto"/>
          <w:sz w:val="22"/>
          <w:szCs w:val="22"/>
        </w:rPr>
        <w:t>Journal of Clinical</w:t>
      </w:r>
    </w:p>
    <w:p w:rsidR="002E44A5" w:rsidRP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i/>
          <w:iCs/>
          <w:color w:val="auto"/>
          <w:sz w:val="22"/>
          <w:szCs w:val="22"/>
        </w:rPr>
        <w:t>Psychology, 69</w:t>
      </w:r>
      <w:r w:rsidRPr="002E44A5">
        <w:rPr>
          <w:rFonts w:cs="Arial"/>
          <w:color w:val="auto"/>
          <w:sz w:val="22"/>
          <w:szCs w:val="22"/>
        </w:rPr>
        <w:t xml:space="preserve">, 433-480. 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 xml:space="preserve">Kessler, R. C., Berglund, P., Demler, O., Jin, R., Merikangas, </w:t>
      </w:r>
      <w:r>
        <w:rPr>
          <w:rFonts w:cs="Arial"/>
          <w:color w:val="auto"/>
          <w:sz w:val="22"/>
          <w:szCs w:val="22"/>
        </w:rPr>
        <w:t>K. R., &amp; Walters, E. E. (2005).</w:t>
      </w: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 xml:space="preserve">Lifetime prevalence and </w:t>
      </w:r>
      <w:r>
        <w:rPr>
          <w:rFonts w:cs="Arial"/>
          <w:color w:val="auto"/>
          <w:sz w:val="22"/>
          <w:szCs w:val="22"/>
        </w:rPr>
        <w:t xml:space="preserve">age </w:t>
      </w:r>
      <w:r w:rsidRPr="002E44A5">
        <w:rPr>
          <w:rFonts w:cs="Arial"/>
          <w:color w:val="auto"/>
          <w:sz w:val="22"/>
          <w:szCs w:val="22"/>
        </w:rPr>
        <w:t>of-onset distributions of D</w:t>
      </w:r>
      <w:r>
        <w:rPr>
          <w:rFonts w:cs="Arial"/>
          <w:color w:val="auto"/>
          <w:sz w:val="22"/>
          <w:szCs w:val="22"/>
        </w:rPr>
        <w:t>SM-IV disorders in the National</w:t>
      </w:r>
    </w:p>
    <w:p w:rsidR="002E44A5" w:rsidRP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 xml:space="preserve">Comorbidity Survey Replication. </w:t>
      </w:r>
      <w:r w:rsidRPr="002E44A5">
        <w:rPr>
          <w:rFonts w:cs="Arial"/>
          <w:i/>
          <w:iCs/>
          <w:color w:val="auto"/>
          <w:sz w:val="22"/>
          <w:szCs w:val="22"/>
        </w:rPr>
        <w:t>Archives of General</w:t>
      </w:r>
      <w:r>
        <w:rPr>
          <w:rFonts w:cs="Arial"/>
          <w:color w:val="auto"/>
          <w:sz w:val="22"/>
          <w:szCs w:val="22"/>
        </w:rPr>
        <w:t xml:space="preserve"> </w:t>
      </w:r>
      <w:r w:rsidRPr="002E44A5">
        <w:rPr>
          <w:rFonts w:cs="Arial"/>
          <w:i/>
          <w:iCs/>
          <w:color w:val="auto"/>
          <w:sz w:val="22"/>
          <w:szCs w:val="22"/>
        </w:rPr>
        <w:t>Psychiatry, 62</w:t>
      </w:r>
      <w:r w:rsidRPr="002E44A5">
        <w:rPr>
          <w:rFonts w:cs="Arial"/>
          <w:color w:val="auto"/>
          <w:sz w:val="22"/>
          <w:szCs w:val="22"/>
        </w:rPr>
        <w:t xml:space="preserve">(6), 593-602. 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>Najavits, L., &amp; Cottler, L. (2014). TIP: Trauma-Informed Car</w:t>
      </w:r>
      <w:r>
        <w:rPr>
          <w:rFonts w:cs="Arial"/>
          <w:color w:val="auto"/>
          <w:sz w:val="22"/>
          <w:szCs w:val="22"/>
        </w:rPr>
        <w:t>e in Behavioral Health Services</w:t>
      </w: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i/>
          <w:iCs/>
          <w:color w:val="auto"/>
          <w:sz w:val="22"/>
          <w:szCs w:val="22"/>
        </w:rPr>
        <w:t>Treatment Improvemen</w:t>
      </w:r>
      <w:r>
        <w:rPr>
          <w:rFonts w:cs="Arial"/>
          <w:i/>
          <w:iCs/>
          <w:color w:val="auto"/>
          <w:sz w:val="22"/>
          <w:szCs w:val="22"/>
        </w:rPr>
        <w:t xml:space="preserve">t </w:t>
      </w:r>
      <w:r w:rsidRPr="002E44A5">
        <w:rPr>
          <w:rFonts w:cs="Arial"/>
          <w:i/>
          <w:iCs/>
          <w:color w:val="auto"/>
          <w:sz w:val="22"/>
          <w:szCs w:val="22"/>
        </w:rPr>
        <w:t>Protocol (TIP) Series</w:t>
      </w:r>
      <w:r w:rsidRPr="002E44A5">
        <w:rPr>
          <w:rFonts w:cs="Arial"/>
          <w:color w:val="auto"/>
          <w:sz w:val="22"/>
          <w:szCs w:val="22"/>
        </w:rPr>
        <w:t>. Washing</w:t>
      </w:r>
      <w:r>
        <w:rPr>
          <w:rFonts w:cs="Arial"/>
          <w:color w:val="auto"/>
          <w:sz w:val="22"/>
          <w:szCs w:val="22"/>
        </w:rPr>
        <w:t>ton, DC: Substance Abuse Mental</w:t>
      </w:r>
    </w:p>
    <w:p w:rsidR="002E44A5" w:rsidRP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>Health Services Administration (SAMHSA), Department</w:t>
      </w:r>
      <w:r>
        <w:rPr>
          <w:rFonts w:cs="Arial"/>
          <w:i/>
          <w:iCs/>
          <w:color w:val="auto"/>
          <w:sz w:val="22"/>
          <w:szCs w:val="22"/>
        </w:rPr>
        <w:t xml:space="preserve"> </w:t>
      </w:r>
      <w:r w:rsidRPr="002E44A5">
        <w:rPr>
          <w:rFonts w:cs="Arial"/>
          <w:color w:val="auto"/>
          <w:sz w:val="22"/>
          <w:szCs w:val="22"/>
        </w:rPr>
        <w:t>of Health and Human Services.</w:t>
      </w:r>
    </w:p>
    <w:p w:rsidR="002E44A5" w:rsidRPr="002E44A5" w:rsidRDefault="002E44A5">
      <w:pPr>
        <w:widowControl w:val="0"/>
        <w:rPr>
          <w:rFonts w:cs="Arial"/>
          <w:sz w:val="22"/>
          <w:szCs w:val="22"/>
        </w:rPr>
      </w:pP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Najavits, LM.  Seeking Safety: A Treatment Manual for </w:t>
      </w:r>
      <w:r w:rsidR="002E44A5" w:rsidRPr="002E44A5">
        <w:rPr>
          <w:rFonts w:cs="Arial"/>
          <w:sz w:val="22"/>
          <w:szCs w:val="22"/>
        </w:rPr>
        <w:t>trauma</w:t>
      </w:r>
      <w:r w:rsidRPr="002E44A5">
        <w:rPr>
          <w:rFonts w:cs="Arial"/>
          <w:sz w:val="22"/>
          <w:szCs w:val="22"/>
        </w:rPr>
        <w:t xml:space="preserve"> and Substance Abuse. New York: Guilford, 2002.</w:t>
      </w:r>
    </w:p>
    <w:p w:rsidR="002E44A5" w:rsidRPr="002E44A5" w:rsidRDefault="002E44A5">
      <w:pPr>
        <w:widowControl w:val="0"/>
        <w:rPr>
          <w:rFonts w:cs="Arial"/>
          <w:sz w:val="22"/>
          <w:szCs w:val="22"/>
        </w:rPr>
      </w:pPr>
    </w:p>
    <w:p w:rsid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2E44A5">
        <w:rPr>
          <w:rFonts w:cs="Arial"/>
          <w:color w:val="auto"/>
          <w:sz w:val="22"/>
          <w:szCs w:val="22"/>
        </w:rPr>
        <w:t xml:space="preserve">Ouimette, P., &amp; Read, J. P. (Eds.). (2013). </w:t>
      </w:r>
      <w:r w:rsidRPr="002E44A5">
        <w:rPr>
          <w:rFonts w:cs="Arial"/>
          <w:i/>
          <w:iCs/>
          <w:color w:val="auto"/>
          <w:sz w:val="22"/>
          <w:szCs w:val="22"/>
        </w:rPr>
        <w:t>Handbook of</w:t>
      </w:r>
      <w:r>
        <w:rPr>
          <w:rFonts w:cs="Arial"/>
          <w:i/>
          <w:iCs/>
          <w:color w:val="auto"/>
          <w:sz w:val="22"/>
          <w:szCs w:val="22"/>
        </w:rPr>
        <w:t xml:space="preserve"> Trauma, PTSD and Substance Use</w:t>
      </w:r>
    </w:p>
    <w:p w:rsidR="002E44A5" w:rsidRPr="002E44A5" w:rsidRDefault="002E44A5" w:rsidP="002E44A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2E44A5">
        <w:rPr>
          <w:rFonts w:cs="Arial"/>
          <w:i/>
          <w:iCs/>
          <w:color w:val="auto"/>
          <w:sz w:val="22"/>
          <w:szCs w:val="22"/>
        </w:rPr>
        <w:t>Disorder Comorbidity</w:t>
      </w:r>
      <w:r>
        <w:rPr>
          <w:rFonts w:cs="Arial"/>
          <w:color w:val="auto"/>
          <w:sz w:val="22"/>
          <w:szCs w:val="22"/>
        </w:rPr>
        <w:t>.</w:t>
      </w:r>
      <w:r w:rsidRPr="002E44A5">
        <w:rPr>
          <w:rFonts w:cs="Arial"/>
          <w:color w:val="auto"/>
          <w:sz w:val="22"/>
          <w:szCs w:val="22"/>
        </w:rPr>
        <w:t>Washington, DC: American Psychological Association Press.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Najavits LM, Abueg F, Brown PJ, Dansky B, Keane T, Lovern J. Videotapes by Cavalcade Productions.  Nevada City, CA, 1998 [800-345-5530]:</w:t>
      </w:r>
    </w:p>
    <w:p w:rsidR="00FA1128" w:rsidRPr="002E44A5" w:rsidRDefault="00FA1128">
      <w:pPr>
        <w:widowControl w:val="0"/>
        <w:ind w:firstLine="72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Trauma and substance abuse I:  Therapeutic approaches [</w:t>
      </w:r>
      <w:r w:rsidRPr="002E44A5">
        <w:rPr>
          <w:rFonts w:cs="Arial"/>
          <w:i/>
          <w:sz w:val="22"/>
          <w:szCs w:val="22"/>
        </w:rPr>
        <w:t>For professionals]</w:t>
      </w:r>
    </w:p>
    <w:p w:rsidR="00FA1128" w:rsidRPr="002E44A5" w:rsidRDefault="00FA1128">
      <w:pPr>
        <w:widowControl w:val="0"/>
        <w:ind w:left="720"/>
        <w:rPr>
          <w:rFonts w:cs="Arial"/>
          <w:i/>
          <w:sz w:val="22"/>
          <w:szCs w:val="22"/>
        </w:rPr>
      </w:pPr>
      <w:r w:rsidRPr="002E44A5">
        <w:rPr>
          <w:rFonts w:cs="Arial"/>
          <w:sz w:val="22"/>
          <w:szCs w:val="22"/>
        </w:rPr>
        <w:t>Trauma and substance abuse II: Special treatment issues [</w:t>
      </w:r>
      <w:r w:rsidRPr="002E44A5">
        <w:rPr>
          <w:rFonts w:cs="Arial"/>
          <w:i/>
          <w:sz w:val="22"/>
          <w:szCs w:val="22"/>
        </w:rPr>
        <w:t>For professionals]</w:t>
      </w:r>
    </w:p>
    <w:p w:rsidR="00FA1128" w:rsidRPr="002E44A5" w:rsidRDefault="00FA1128">
      <w:pPr>
        <w:widowControl w:val="0"/>
        <w:ind w:left="720"/>
        <w:rPr>
          <w:rFonts w:cs="Arial"/>
          <w:i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Numbing the Pain: Substance abuse and psychological </w:t>
      </w:r>
      <w:proofErr w:type="gramStart"/>
      <w:r w:rsidRPr="002E44A5">
        <w:rPr>
          <w:rFonts w:cs="Arial"/>
          <w:sz w:val="22"/>
          <w:szCs w:val="22"/>
        </w:rPr>
        <w:t>trauma  [</w:t>
      </w:r>
      <w:proofErr w:type="gramEnd"/>
      <w:r w:rsidRPr="002E44A5">
        <w:rPr>
          <w:rFonts w:cs="Arial"/>
          <w:i/>
          <w:sz w:val="22"/>
          <w:szCs w:val="22"/>
        </w:rPr>
        <w:t>For patients]</w:t>
      </w:r>
    </w:p>
    <w:p w:rsidR="00FA1128" w:rsidRPr="002E44A5" w:rsidRDefault="00FA1128">
      <w:pPr>
        <w:widowControl w:val="0"/>
        <w:ind w:left="720"/>
        <w:rPr>
          <w:rFonts w:cs="Arial"/>
          <w:sz w:val="22"/>
          <w:szCs w:val="22"/>
        </w:rPr>
      </w:pPr>
    </w:p>
    <w:p w:rsidR="00FA1128" w:rsidRPr="002E44A5" w:rsidRDefault="00FA1128">
      <w:pPr>
        <w:widowControl w:val="0"/>
        <w:rPr>
          <w:rFonts w:cs="Arial"/>
          <w:b/>
          <w:bCs/>
          <w:sz w:val="22"/>
          <w:szCs w:val="22"/>
        </w:rPr>
      </w:pPr>
      <w:r w:rsidRPr="002E44A5">
        <w:rPr>
          <w:rFonts w:cs="Arial"/>
          <w:b/>
          <w:bCs/>
          <w:sz w:val="22"/>
          <w:szCs w:val="22"/>
        </w:rPr>
        <w:lastRenderedPageBreak/>
        <w:t>Audiovisual: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LCD projector </w:t>
      </w:r>
    </w:p>
    <w:p w:rsidR="00FA1128" w:rsidRPr="002E44A5" w:rsidRDefault="002E44A5">
      <w:pPr>
        <w:widowControl w:val="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Audio capacity (</w:t>
      </w:r>
      <w:r w:rsidR="00FA1128" w:rsidRPr="002E44A5">
        <w:rPr>
          <w:rFonts w:cs="Arial"/>
          <w:sz w:val="22"/>
          <w:szCs w:val="22"/>
        </w:rPr>
        <w:t xml:space="preserve">to </w:t>
      </w:r>
      <w:r w:rsidRPr="002E44A5">
        <w:rPr>
          <w:rFonts w:cs="Arial"/>
          <w:sz w:val="22"/>
          <w:szCs w:val="22"/>
        </w:rPr>
        <w:t xml:space="preserve">play brief </w:t>
      </w:r>
      <w:r w:rsidR="00FA1128" w:rsidRPr="002E44A5">
        <w:rPr>
          <w:rFonts w:cs="Arial"/>
          <w:sz w:val="22"/>
          <w:szCs w:val="22"/>
        </w:rPr>
        <w:t>video segments</w:t>
      </w:r>
      <w:r w:rsidRPr="002E44A5">
        <w:rPr>
          <w:rFonts w:cs="Arial"/>
          <w:sz w:val="22"/>
          <w:szCs w:val="22"/>
        </w:rPr>
        <w:t xml:space="preserve"> from trainer’s computer</w:t>
      </w:r>
      <w:r w:rsidR="00FA1128" w:rsidRPr="002E44A5">
        <w:rPr>
          <w:rFonts w:cs="Arial"/>
          <w:sz w:val="22"/>
          <w:szCs w:val="22"/>
        </w:rPr>
        <w:t>)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Microphone</w:t>
      </w:r>
    </w:p>
    <w:p w:rsidR="00FA1128" w:rsidRPr="002E44A5" w:rsidRDefault="00FA1128">
      <w:pPr>
        <w:widowControl w:val="0"/>
        <w:rPr>
          <w:rFonts w:cs="Arial"/>
          <w:sz w:val="22"/>
          <w:szCs w:val="22"/>
        </w:rPr>
      </w:pPr>
    </w:p>
    <w:p w:rsidR="00FA1128" w:rsidRPr="002E44A5" w:rsidRDefault="00FA1128">
      <w:pPr>
        <w:spacing w:line="480" w:lineRule="auto"/>
        <w:rPr>
          <w:rFonts w:cs="Arial"/>
          <w:b/>
          <w:sz w:val="22"/>
          <w:szCs w:val="22"/>
        </w:rPr>
      </w:pPr>
      <w:r w:rsidRPr="002E44A5">
        <w:rPr>
          <w:rFonts w:cs="Arial"/>
          <w:b/>
          <w:sz w:val="22"/>
          <w:szCs w:val="22"/>
        </w:rPr>
        <w:t>Methods of instruction include:</w:t>
      </w:r>
    </w:p>
    <w:p w:rsidR="00FA1128" w:rsidRPr="002E44A5" w:rsidRDefault="00FA1128">
      <w:pPr>
        <w:ind w:left="72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1.  Lecture</w:t>
      </w:r>
    </w:p>
    <w:p w:rsidR="00FA1128" w:rsidRPr="002E44A5" w:rsidRDefault="00FA1128">
      <w:pPr>
        <w:ind w:left="72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 xml:space="preserve">2.  Video segments related to treatment issues </w:t>
      </w:r>
    </w:p>
    <w:p w:rsidR="00FA1128" w:rsidRPr="002E44A5" w:rsidRDefault="00FA1128">
      <w:pPr>
        <w:ind w:left="72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3.  Experiential exercises (e.g., role-play)</w:t>
      </w:r>
    </w:p>
    <w:p w:rsidR="00FA1128" w:rsidRPr="002E44A5" w:rsidRDefault="00FA1128">
      <w:pPr>
        <w:ind w:left="720"/>
        <w:rPr>
          <w:rFonts w:cs="Arial"/>
          <w:sz w:val="22"/>
          <w:szCs w:val="22"/>
        </w:rPr>
      </w:pPr>
      <w:r w:rsidRPr="002E44A5">
        <w:rPr>
          <w:rFonts w:cs="Arial"/>
          <w:sz w:val="22"/>
          <w:szCs w:val="22"/>
        </w:rPr>
        <w:t>4.  Question/answer discussion with participants</w:t>
      </w:r>
    </w:p>
    <w:sectPr w:rsidR="00FA1128" w:rsidRPr="002E44A5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F"/>
    <w:rsid w:val="002860FF"/>
    <w:rsid w:val="002E44A5"/>
    <w:rsid w:val="00AF30F6"/>
    <w:rsid w:val="00E96CE6"/>
    <w:rsid w:val="00F372B3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24A70-4101-4AD6-9489-CDD5065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LN</cp:lastModifiedBy>
  <cp:revision>3</cp:revision>
  <cp:lastPrinted>2000-02-04T00:30:00Z</cp:lastPrinted>
  <dcterms:created xsi:type="dcterms:W3CDTF">2014-12-01T22:19:00Z</dcterms:created>
  <dcterms:modified xsi:type="dcterms:W3CDTF">2014-12-01T22:20:00Z</dcterms:modified>
</cp:coreProperties>
</file>